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 xml:space="preserve">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r w:rsidR="00581F55" w:rsidRPr="00327B5F">
        <w:rPr>
          <w:sz w:val="28"/>
          <w:szCs w:val="28"/>
        </w:rPr>
        <w:t>listopad</w:t>
      </w:r>
      <w:r w:rsidR="00423B4E" w:rsidRPr="00327B5F">
        <w:rPr>
          <w:sz w:val="28"/>
          <w:szCs w:val="28"/>
        </w:rPr>
        <w:t xml:space="preserve"> </w:t>
      </w:r>
      <w:r w:rsidRPr="00327B5F">
        <w:rPr>
          <w:sz w:val="28"/>
          <w:szCs w:val="28"/>
        </w:rPr>
        <w:t>2017</w:t>
      </w:r>
    </w:p>
    <w:bookmarkStart w:id="2" w:name="_Toc432758963" w:displacedByCustomXml="next"/>
    <w:bookmarkStart w:id="3" w:name="_Toc430826815" w:displacedByCustomXml="next"/>
    <w:bookmarkStart w:id="4"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B732C">
              <w:rPr>
                <w:noProof/>
                <w:webHidden/>
              </w:rPr>
              <w:t>4</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B732C">
              <w:rPr>
                <w:noProof/>
                <w:webHidden/>
              </w:rPr>
              <w:t>7</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B732C">
              <w:rPr>
                <w:noProof/>
                <w:webHidden/>
              </w:rPr>
              <w:t>8</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B732C">
              <w:rPr>
                <w:noProof/>
                <w:webHidden/>
              </w:rPr>
              <w:t>8</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B732C">
              <w:rPr>
                <w:noProof/>
                <w:webHidden/>
              </w:rPr>
              <w:t>13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B732C">
              <w:rPr>
                <w:noProof/>
                <w:webHidden/>
              </w:rPr>
              <w:t>17</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B732C">
              <w:rPr>
                <w:noProof/>
                <w:webHidden/>
              </w:rPr>
              <w:t>18</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B732C">
              <w:rPr>
                <w:noProof/>
                <w:webHidden/>
              </w:rPr>
              <w:t>18</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B732C">
              <w:rPr>
                <w:noProof/>
                <w:webHidden/>
              </w:rPr>
              <w:t>19</w:t>
            </w:r>
            <w:r w:rsidR="002F3098">
              <w:rPr>
                <w:noProof/>
                <w:webHidden/>
              </w:rPr>
              <w:fldChar w:fldCharType="end"/>
            </w:r>
          </w:hyperlink>
        </w:p>
        <w:p w:rsidR="002F3098" w:rsidRDefault="009A2601">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B732C">
              <w:rPr>
                <w:noProof/>
                <w:webHidden/>
              </w:rPr>
              <w:t>19</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B732C">
              <w:rPr>
                <w:noProof/>
                <w:webHidden/>
              </w:rPr>
              <w:t>22</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B732C">
              <w:rPr>
                <w:noProof/>
                <w:webHidden/>
              </w:rPr>
              <w:t>23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B732C">
              <w:rPr>
                <w:noProof/>
                <w:webHidden/>
              </w:rPr>
              <w:t>23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B732C">
              <w:rPr>
                <w:noProof/>
                <w:webHidden/>
              </w:rPr>
              <w:t>24</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B732C">
              <w:rPr>
                <w:noProof/>
                <w:webHidden/>
              </w:rPr>
              <w:t>24</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B732C">
              <w:rPr>
                <w:noProof/>
                <w:webHidden/>
              </w:rPr>
              <w:t>27</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B732C">
              <w:rPr>
                <w:noProof/>
                <w:webHidden/>
              </w:rPr>
              <w:t>31</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B732C">
              <w:rPr>
                <w:noProof/>
                <w:webHidden/>
              </w:rPr>
              <w:t>33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B732C">
              <w:rPr>
                <w:noProof/>
                <w:webHidden/>
              </w:rPr>
              <w:t>36</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B732C">
              <w:rPr>
                <w:noProof/>
                <w:webHidden/>
              </w:rPr>
              <w:t>36</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B732C">
              <w:rPr>
                <w:noProof/>
                <w:webHidden/>
              </w:rPr>
              <w:t>40</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B732C">
              <w:rPr>
                <w:noProof/>
                <w:webHidden/>
              </w:rPr>
              <w:t>41</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B732C">
              <w:rPr>
                <w:noProof/>
                <w:webHidden/>
              </w:rPr>
              <w:t>42</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B732C">
              <w:rPr>
                <w:noProof/>
                <w:webHidden/>
              </w:rPr>
              <w:t>43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B732C">
              <w:rPr>
                <w:noProof/>
                <w:webHidden/>
              </w:rPr>
              <w:t>47</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B732C">
              <w:rPr>
                <w:noProof/>
                <w:webHidden/>
              </w:rPr>
              <w:t>48</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B732C">
              <w:rPr>
                <w:noProof/>
                <w:webHidden/>
              </w:rPr>
              <w:t>49</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B732C">
              <w:rPr>
                <w:noProof/>
                <w:webHidden/>
              </w:rPr>
              <w:t>50</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B732C">
              <w:rPr>
                <w:noProof/>
                <w:webHidden/>
              </w:rPr>
              <w:t>50</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B732C">
              <w:rPr>
                <w:noProof/>
                <w:webHidden/>
              </w:rPr>
              <w:t>51</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B732C">
              <w:rPr>
                <w:noProof/>
                <w:webHidden/>
              </w:rPr>
              <w:t>53</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B732C">
              <w:rPr>
                <w:noProof/>
                <w:webHidden/>
              </w:rPr>
              <w:t>54</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B732C">
              <w:rPr>
                <w:noProof/>
                <w:webHidden/>
              </w:rPr>
              <w:t>57</w:t>
            </w:r>
            <w:r w:rsidR="002F3098">
              <w:rPr>
                <w:noProof/>
                <w:webHidden/>
              </w:rPr>
              <w:fldChar w:fldCharType="end"/>
            </w:r>
          </w:hyperlink>
        </w:p>
        <w:p w:rsidR="002F3098" w:rsidRDefault="009A2601">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B732C">
              <w:rPr>
                <w:noProof/>
                <w:webHidden/>
              </w:rPr>
              <w:t>60</w:t>
            </w:r>
            <w:r w:rsidR="002F3098">
              <w:rPr>
                <w:noProof/>
                <w:webHidden/>
              </w:rPr>
              <w:fldChar w:fldCharType="end"/>
            </w:r>
          </w:hyperlink>
        </w:p>
        <w:p w:rsidR="002F3098" w:rsidRDefault="009A2601">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B732C">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6" w:name="_Toc497464979"/>
      <w:r w:rsidRPr="005043BF">
        <w:t>Regulamin konkursu</w:t>
      </w:r>
      <w:bookmarkEnd w:id="4"/>
      <w:bookmarkEnd w:id="3"/>
      <w:bookmarkEnd w:id="2"/>
      <w:r w:rsidRPr="005043BF">
        <w:t xml:space="preserve"> -</w:t>
      </w:r>
      <w:r w:rsidR="0098249F" w:rsidRPr="005043BF">
        <w:t xml:space="preserve"> </w:t>
      </w:r>
      <w:r w:rsidRPr="005043BF">
        <w:t>informacje ogólne</w:t>
      </w:r>
      <w:bookmarkEnd w:id="6"/>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7" w:name="_Toc497464980"/>
      <w:r w:rsidRPr="005043BF">
        <w:t>Pełna nazwa i adres właściwej instytucji organizującej konkurs</w:t>
      </w:r>
      <w:bookmarkEnd w:id="7"/>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9"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9"/>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0" w:name="_Toc497464982"/>
      <w:r w:rsidRPr="005043BF">
        <w:t>Przedmiot konkursu, w tym typy projektów podlegających dofinansowaniu</w:t>
      </w:r>
      <w:bookmarkEnd w:id="10"/>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1" w:name="_Toc497464983"/>
      <w:r w:rsidRPr="005043BF">
        <w:t xml:space="preserve">Typy </w:t>
      </w:r>
      <w:r w:rsidR="00493A21" w:rsidRPr="005043BF">
        <w:t>wnioskodawców/</w:t>
      </w:r>
      <w:r w:rsidRPr="005043BF">
        <w:t>beneficjentów</w:t>
      </w:r>
      <w:bookmarkEnd w:id="11"/>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024774" w:rsidRPr="00B92BB7">
        <w:rPr>
          <w:rFonts w:cs="Calibri"/>
          <w:b/>
          <w:color w:val="000000"/>
          <w:sz w:val="24"/>
          <w:szCs w:val="24"/>
        </w:rPr>
        <w:t>2 3</w:t>
      </w:r>
      <w:r w:rsidR="00C30750" w:rsidRPr="00B92BB7">
        <w:rPr>
          <w:rFonts w:cs="Calibri"/>
          <w:b/>
          <w:color w:val="000000"/>
          <w:sz w:val="24"/>
          <w:szCs w:val="24"/>
        </w:rPr>
        <w:t>47 528</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B92BB7" w:rsidRPr="00B92BB7">
        <w:rPr>
          <w:rFonts w:eastAsia="Droid Sans Fallback" w:cs="Calibri"/>
          <w:b/>
          <w:color w:val="00000A"/>
          <w:sz w:val="24"/>
          <w:szCs w:val="24"/>
        </w:rPr>
        <w:t xml:space="preserve">9 961 031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B327E" w:rsidRPr="00B92BB7">
        <w:rPr>
          <w:rFonts w:cs="MS Sans Serif"/>
          <w:color w:val="000000" w:themeColor="text1"/>
          <w:sz w:val="24"/>
          <w:szCs w:val="24"/>
        </w:rPr>
        <w:t xml:space="preserve">listopadzie </w:t>
      </w:r>
      <w:r w:rsidRPr="00B92BB7">
        <w:rPr>
          <w:rFonts w:cs="MS Sans Serif"/>
          <w:color w:val="000000" w:themeColor="text1"/>
          <w:sz w:val="24"/>
          <w:szCs w:val="24"/>
        </w:rPr>
        <w:t>201</w:t>
      </w:r>
      <w:r w:rsidR="00A2484B" w:rsidRPr="00B92BB7">
        <w:rPr>
          <w:rFonts w:cs="MS Sans Serif"/>
          <w:color w:val="000000" w:themeColor="text1"/>
          <w:sz w:val="24"/>
          <w:szCs w:val="24"/>
        </w:rPr>
        <w:t>7</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B92BB7" w:rsidRPr="00B92BB7">
        <w:rPr>
          <w:sz w:val="24"/>
          <w:szCs w:val="24"/>
        </w:rPr>
        <w:t xml:space="preserve">4,2432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2B327E" w:rsidRPr="00B92BB7">
        <w:rPr>
          <w:rFonts w:cs="MS Sans Serif"/>
          <w:color w:val="000000" w:themeColor="text1"/>
          <w:sz w:val="24"/>
          <w:szCs w:val="24"/>
        </w:rPr>
        <w:t>październik</w:t>
      </w:r>
      <w:r w:rsidR="00A80035" w:rsidRPr="00B92BB7">
        <w:rPr>
          <w:rFonts w:cs="MS Sans Serif"/>
          <w:color w:val="000000" w:themeColor="text1"/>
          <w:sz w:val="24"/>
          <w:szCs w:val="24"/>
        </w:rPr>
        <w:t>a</w:t>
      </w:r>
      <w:r w:rsidR="00400DBD" w:rsidRPr="00B92BB7">
        <w:rPr>
          <w:rFonts w:cs="MS Sans Serif"/>
          <w:color w:val="000000" w:themeColor="text1"/>
          <w:sz w:val="24"/>
          <w:szCs w:val="24"/>
        </w:rPr>
        <w:t xml:space="preserve"> 2017 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35</w:t>
      </w:r>
      <w:r w:rsidR="009A2601">
        <w:rPr>
          <w:rFonts w:cs="MS Sans Serif"/>
          <w:color w:val="000000" w:themeColor="text1"/>
          <w:sz w:val="24"/>
          <w:szCs w:val="24"/>
        </w:rPr>
        <w:t>2</w:t>
      </w:r>
      <w:r w:rsidR="0080232C" w:rsidRPr="005043BF">
        <w:rPr>
          <w:rFonts w:cs="MS Sans Serif"/>
          <w:color w:val="000000" w:themeColor="text1"/>
          <w:sz w:val="24"/>
          <w:szCs w:val="24"/>
        </w:rPr>
        <w:t> 129,2 EUR)</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3"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3"/>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4" w:name="_Toc497464985"/>
      <w:r w:rsidRPr="005043BF">
        <w:t>Minimalna wartość projektu</w:t>
      </w:r>
      <w:bookmarkEnd w:id="14"/>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5" w:name="_Toc497464986"/>
      <w:r w:rsidRPr="005043BF">
        <w:t>Maksymalna wartość projektu</w:t>
      </w:r>
      <w:bookmarkEnd w:id="15"/>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6"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6"/>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17" w:name="_Toc497464988"/>
      <w:r w:rsidRPr="005043BF">
        <w:t xml:space="preserve">11. </w:t>
      </w:r>
      <w:r w:rsidR="003C4247" w:rsidRPr="005043BF">
        <w:t>Warunki stosowania uproszczonych form rozliczania wydatków i planowany zakres systemu zaliczek</w:t>
      </w:r>
      <w:bookmarkEnd w:id="17"/>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8" w:name="_Toc497464989"/>
      <w:r w:rsidRPr="00E81BCB">
        <w:t xml:space="preserve">12. </w:t>
      </w:r>
      <w:r w:rsidR="00F83179" w:rsidRPr="00E81BCB">
        <w:t>Warunki uwzględniania dochodu w projekcie</w:t>
      </w:r>
      <w:bookmarkEnd w:id="18"/>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19"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19"/>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0" w:name="_Toc497464991"/>
      <w:r w:rsidRPr="00F4139F">
        <w:t xml:space="preserve">14. </w:t>
      </w:r>
      <w:r w:rsidR="003C4247" w:rsidRPr="00F4139F">
        <w:t>Minimalny wkład własny beneficjenta jako % wydatków kwalifikowalnych</w:t>
      </w:r>
      <w:bookmarkEnd w:id="20"/>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1" w:name="_Toc497464992"/>
      <w:r>
        <w:rPr>
          <w:rFonts w:asciiTheme="minorHAnsi" w:hAnsiTheme="minorHAnsi"/>
          <w:color w:val="auto"/>
        </w:rPr>
        <w:t xml:space="preserve">15. </w:t>
      </w:r>
      <w:r w:rsidRPr="005043BF">
        <w:t>Termin, miejsce i forma składania wniosków o dofinansowanie projektu</w:t>
      </w:r>
      <w:bookmarkEnd w:id="21"/>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bookmarkStart w:id="22" w:name="_GoBack"/>
      <w:bookmarkEnd w:id="22"/>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od godz. 8.00 dnia 19 grudnia 2017 r. do godz. 15.00 dnia 15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 15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3" w:name="_Toc497464993"/>
      <w:r w:rsidRPr="005043BF">
        <w:t>1</w:t>
      </w:r>
      <w:r w:rsidR="00702CFF">
        <w:t>6</w:t>
      </w:r>
      <w:r w:rsidRPr="005043BF">
        <w:t xml:space="preserve">. </w:t>
      </w:r>
      <w:r w:rsidR="003C4247" w:rsidRPr="005043BF">
        <w:t>Forma konkursu</w:t>
      </w:r>
      <w:bookmarkEnd w:id="2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5" w:name="_Toc494282183"/>
      <w:bookmarkStart w:id="2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1" w:name="_Toc497464998"/>
      <w:r w:rsidRPr="005043BF">
        <w:t xml:space="preserve">21. </w:t>
      </w:r>
      <w:r w:rsidR="003C4247" w:rsidRPr="005043BF">
        <w:t>Kryteria wyboru projektów wraz z podaniem ich znaczenia</w:t>
      </w:r>
      <w:bookmarkEnd w:id="3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2" w:name="_Toc497464999"/>
      <w:r w:rsidRPr="005043BF">
        <w:t xml:space="preserve">22.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3" w:name="_Toc497465000"/>
      <w:r w:rsidRPr="005043BF">
        <w:t xml:space="preserve">23. </w:t>
      </w:r>
      <w:r w:rsidR="003C4247"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4" w:name="_Toc497465001"/>
      <w:r w:rsidRPr="005043BF">
        <w:t xml:space="preserve">24. </w:t>
      </w:r>
      <w:r w:rsidR="003C4247" w:rsidRPr="005043BF">
        <w:t>Środki odwoław</w:t>
      </w:r>
      <w:r w:rsidR="00364C8F" w:rsidRPr="005043BF">
        <w:t>cze przysługujące wnioskodawcy</w:t>
      </w:r>
      <w:bookmarkEnd w:id="34"/>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5" w:name="_Toc497465002"/>
      <w:r w:rsidRPr="005043BF">
        <w:t xml:space="preserve">25. </w:t>
      </w:r>
      <w:r w:rsidR="003C4247" w:rsidRPr="005043BF">
        <w:t>Sposób podania do publicz</w:t>
      </w:r>
      <w:r w:rsidR="00E46015" w:rsidRPr="005043BF">
        <w:t>nej wiadomości wyników konkursu</w:t>
      </w:r>
      <w:bookmarkEnd w:id="35"/>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7" w:name="_Toc497465004"/>
      <w:r w:rsidRPr="005043BF">
        <w:t xml:space="preserve">27.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38" w:name="_Toc497465005"/>
      <w:r w:rsidRPr="005043BF">
        <w:t xml:space="preserve">28. </w:t>
      </w:r>
      <w:r w:rsidR="003C4247" w:rsidRPr="005043BF">
        <w:t>Orientacyjny t</w:t>
      </w:r>
      <w:r w:rsidR="00254703" w:rsidRPr="005043BF">
        <w:t>ermin rozstrzygnięcia konkursu</w:t>
      </w:r>
      <w:bookmarkEnd w:id="38"/>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9" w:name="_Toc497465006"/>
      <w:r w:rsidRPr="005043BF">
        <w:t xml:space="preserve">29. </w:t>
      </w:r>
      <w:r w:rsidR="003C4247"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1" w:name="_Toc497465007"/>
      <w:r w:rsidRPr="005043BF">
        <w:t>3</w:t>
      </w:r>
      <w:r w:rsidR="00C728C2" w:rsidRPr="005043BF">
        <w:t>0</w:t>
      </w:r>
      <w:r w:rsidRPr="005043BF">
        <w:t xml:space="preserve">. </w:t>
      </w:r>
      <w:r w:rsidR="003C4247"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2" w:name="_Toc497465008"/>
      <w:r w:rsidRPr="005043BF">
        <w:t>3</w:t>
      </w:r>
      <w:r w:rsidR="00C728C2" w:rsidRPr="005043BF">
        <w:t>1</w:t>
      </w:r>
      <w:r w:rsidRPr="005043BF">
        <w:t xml:space="preserve">. </w:t>
      </w:r>
      <w:r w:rsidR="003C4247" w:rsidRPr="005043BF">
        <w:t>Kwalifikowalność podatku VAT</w:t>
      </w:r>
      <w:bookmarkEnd w:id="4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3" w:name="_Toc497465009"/>
      <w:r w:rsidRPr="005043BF">
        <w:t>32</w:t>
      </w:r>
      <w:r w:rsidR="00A37FBD" w:rsidRPr="005043BF">
        <w:t xml:space="preserve">. </w:t>
      </w:r>
      <w:r w:rsidR="003C247B" w:rsidRPr="005043BF">
        <w:t>Polityka ochrony środowiska</w:t>
      </w:r>
      <w:bookmarkEnd w:id="43"/>
    </w:p>
    <w:p w:rsidR="00B51FF5" w:rsidRPr="00006615" w:rsidRDefault="00B51FF5" w:rsidP="005043BF">
      <w:pPr>
        <w:spacing w:after="120" w:line="360" w:lineRule="auto"/>
        <w:rPr>
          <w:sz w:val="24"/>
          <w:szCs w:val="24"/>
        </w:rPr>
      </w:pPr>
      <w:r w:rsidRPr="00006615">
        <w:rPr>
          <w:sz w:val="24"/>
          <w:szCs w:val="24"/>
        </w:rPr>
        <w:t>Do wniosku o dofinansowanie projektu należy dołączyć:</w:t>
      </w:r>
    </w:p>
    <w:p w:rsidR="00B51FF5" w:rsidRPr="00006615" w:rsidRDefault="00B51FF5" w:rsidP="00E14AFC">
      <w:pPr>
        <w:pStyle w:val="Akapitzlist"/>
        <w:numPr>
          <w:ilvl w:val="0"/>
          <w:numId w:val="27"/>
        </w:numPr>
        <w:spacing w:before="0" w:line="360" w:lineRule="auto"/>
        <w:rPr>
          <w:rFonts w:asciiTheme="minorHAnsi" w:hAnsiTheme="minorHAnsi"/>
          <w:sz w:val="24"/>
          <w:szCs w:val="24"/>
        </w:rPr>
      </w:pPr>
      <w:r w:rsidRPr="00006615">
        <w:rPr>
          <w:rFonts w:asciiTheme="minorHAnsi" w:hAnsiTheme="minorHAnsi"/>
          <w:sz w:val="24"/>
          <w:szCs w:val="24"/>
        </w:rPr>
        <w:t xml:space="preserve">Oświadczenie „Analiza oddziaływania na środowisko, z uwzględnieniem potrzeb dotyczących przystosowania się do zmiany klimatu i łagodzenia zmiany klimatu, a także odporności na klęski żywiołowe” (Oświadczenie OOŚ), </w:t>
      </w:r>
    </w:p>
    <w:p w:rsidR="00B51FF5" w:rsidRPr="00006615" w:rsidRDefault="00B561D3" w:rsidP="00E14AFC">
      <w:pPr>
        <w:pStyle w:val="Akapitzlist"/>
        <w:numPr>
          <w:ilvl w:val="0"/>
          <w:numId w:val="27"/>
        </w:numPr>
        <w:spacing w:before="0" w:line="360" w:lineRule="auto"/>
        <w:rPr>
          <w:rFonts w:asciiTheme="minorHAnsi" w:hAnsiTheme="minorHAnsi"/>
          <w:sz w:val="24"/>
          <w:szCs w:val="24"/>
        </w:rPr>
      </w:pPr>
      <w:r>
        <w:rPr>
          <w:rFonts w:asciiTheme="minorHAnsi" w:hAnsiTheme="minorHAnsi"/>
          <w:sz w:val="24"/>
          <w:szCs w:val="24"/>
        </w:rPr>
        <w:t>Deklarację</w:t>
      </w:r>
      <w:r w:rsidR="00B51FF5" w:rsidRPr="00006615">
        <w:rPr>
          <w:rFonts w:asciiTheme="minorHAnsi" w:hAnsiTheme="minorHAnsi"/>
          <w:sz w:val="24"/>
          <w:szCs w:val="24"/>
        </w:rPr>
        <w:t xml:space="preserve"> organu odpowiedzialnego za monitorowanie obszarów Natura 2000,</w:t>
      </w:r>
    </w:p>
    <w:p w:rsidR="00B51FF5" w:rsidRPr="00006615" w:rsidRDefault="00B561D3" w:rsidP="00E14AFC">
      <w:pPr>
        <w:pStyle w:val="Akapitzlist"/>
        <w:numPr>
          <w:ilvl w:val="0"/>
          <w:numId w:val="27"/>
        </w:numPr>
        <w:spacing w:before="0" w:line="360" w:lineRule="auto"/>
        <w:rPr>
          <w:rFonts w:asciiTheme="minorHAnsi" w:hAnsiTheme="minorHAnsi"/>
          <w:sz w:val="24"/>
          <w:szCs w:val="24"/>
        </w:rPr>
      </w:pPr>
      <w:r>
        <w:rPr>
          <w:rFonts w:asciiTheme="minorHAnsi" w:hAnsiTheme="minorHAnsi"/>
          <w:sz w:val="24"/>
          <w:szCs w:val="24"/>
        </w:rPr>
        <w:t>Deklarację</w:t>
      </w:r>
      <w:r w:rsidR="00B51FF5" w:rsidRPr="00006615">
        <w:rPr>
          <w:rFonts w:asciiTheme="minorHAnsi" w:hAnsiTheme="minorHAnsi"/>
          <w:sz w:val="24"/>
          <w:szCs w:val="24"/>
        </w:rPr>
        <w:t xml:space="preserve"> właściwego organu odpowiedzialnego za gospodarkę wodną. </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 </w:t>
      </w:r>
      <w:proofErr w:type="spellStart"/>
      <w:r w:rsidRPr="00006615">
        <w:rPr>
          <w:sz w:val="24"/>
          <w:szCs w:val="24"/>
        </w:rPr>
        <w:t>ppkt</w:t>
      </w:r>
      <w:proofErr w:type="spellEnd"/>
      <w:r w:rsidRPr="00006615">
        <w:rPr>
          <w:sz w:val="24"/>
          <w:szCs w:val="24"/>
        </w:rPr>
        <w:t xml:space="preserve"> 1-3 nie jest konieczne. </w:t>
      </w:r>
    </w:p>
    <w:p w:rsidR="00B51FF5" w:rsidRDefault="00B51FF5" w:rsidP="005043BF">
      <w:pPr>
        <w:spacing w:after="120" w:line="360" w:lineRule="auto"/>
        <w:rPr>
          <w:sz w:val="24"/>
          <w:szCs w:val="24"/>
        </w:rPr>
      </w:pPr>
      <w:r w:rsidRPr="00006615">
        <w:rPr>
          <w:sz w:val="24"/>
          <w:szCs w:val="24"/>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C26451" w:rsidRPr="00006615" w:rsidRDefault="00C26451" w:rsidP="005043BF">
      <w:pPr>
        <w:spacing w:after="120" w:line="360" w:lineRule="auto"/>
        <w:rPr>
          <w:sz w:val="24"/>
          <w:szCs w:val="24"/>
        </w:rPr>
      </w:pPr>
      <w:r w:rsidRPr="00C26451">
        <w:rPr>
          <w:sz w:val="24"/>
          <w:szCs w:val="24"/>
        </w:rPr>
        <w:t>Dla przedsięwzięć nie objętych rozporządzeniem z dnia 9 listopada 2010 r. w sprawie przedsięwzięć mogących znacząco oddziaływać na środowisko (Dz.U. z 2016 poz. 71) nie ma obowiązku dołączania Deklaracji właściwego organu odpowiedzialnego za gospodarkę wodną.</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44" w:name="_Toc426632923"/>
      <w:bookmarkStart w:id="45" w:name="_Toc430826827"/>
      <w:bookmarkStart w:id="46" w:name="_Toc432758975"/>
      <w:bookmarkStart w:id="47" w:name="_Toc497465010"/>
      <w:r w:rsidRPr="005043BF">
        <w:t>33</w:t>
      </w:r>
      <w:r w:rsidR="00A37FBD" w:rsidRPr="005043BF">
        <w:t xml:space="preserve">. </w:t>
      </w:r>
      <w:r w:rsidR="003C247B" w:rsidRPr="005043BF">
        <w:t>Wymagania w zakresie realizacji projektu partnerskiego</w:t>
      </w:r>
      <w:bookmarkEnd w:id="44"/>
      <w:bookmarkEnd w:id="45"/>
      <w:bookmarkEnd w:id="46"/>
      <w:bookmarkEnd w:id="47"/>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RDW, 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Pr="005043BF"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3C4247" w:rsidRPr="005043BF" w:rsidRDefault="00F77287" w:rsidP="005043BF">
      <w:pPr>
        <w:pStyle w:val="Spistreci1"/>
        <w:numPr>
          <w:ilvl w:val="0"/>
          <w:numId w:val="20"/>
        </w:numPr>
        <w:spacing w:line="360" w:lineRule="auto"/>
        <w:outlineLvl w:val="0"/>
      </w:pPr>
      <w:bookmarkStart w:id="49" w:name="_Toc497465012"/>
      <w:r w:rsidRPr="005043BF">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1" w:rsidRDefault="009A2601" w:rsidP="003C4247">
      <w:pPr>
        <w:spacing w:after="0" w:line="240" w:lineRule="auto"/>
      </w:pPr>
      <w:r>
        <w:separator/>
      </w:r>
    </w:p>
  </w:endnote>
  <w:endnote w:type="continuationSeparator" w:id="0">
    <w:p w:rsidR="009A2601" w:rsidRDefault="009A2601"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9A2601" w:rsidRDefault="009A260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AB732C">
              <w:rPr>
                <w:b/>
                <w:bCs/>
                <w:noProof/>
                <w:sz w:val="18"/>
                <w:szCs w:val="18"/>
              </w:rPr>
              <w:t>64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AB732C">
              <w:rPr>
                <w:b/>
                <w:bCs/>
                <w:noProof/>
                <w:sz w:val="18"/>
                <w:szCs w:val="18"/>
              </w:rPr>
              <w:t>64</w:t>
            </w:r>
            <w:r w:rsidRPr="008C4AF0">
              <w:rPr>
                <w:b/>
                <w:bCs/>
                <w:sz w:val="18"/>
                <w:szCs w:val="18"/>
              </w:rPr>
              <w:fldChar w:fldCharType="end"/>
            </w:r>
          </w:p>
        </w:sdtContent>
      </w:sdt>
    </w:sdtContent>
  </w:sdt>
  <w:p w:rsidR="009A2601" w:rsidRDefault="009A26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1" w:rsidRDefault="009A2601" w:rsidP="003C4247">
      <w:pPr>
        <w:spacing w:after="0" w:line="240" w:lineRule="auto"/>
      </w:pPr>
      <w:r>
        <w:separator/>
      </w:r>
    </w:p>
  </w:footnote>
  <w:footnote w:type="continuationSeparator" w:id="0">
    <w:p w:rsidR="009A2601" w:rsidRDefault="009A2601"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1030"/>
    <w:rsid w:val="001F12F5"/>
    <w:rsid w:val="001F3478"/>
    <w:rsid w:val="001F5E61"/>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103C2"/>
    <w:rsid w:val="00A115AC"/>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6B77-0E8D-46B7-A4BA-DA96C54E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64</Pages>
  <Words>16283</Words>
  <Characters>97703</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32</cp:revision>
  <cp:lastPrinted>2017-11-07T08:16:00Z</cp:lastPrinted>
  <dcterms:created xsi:type="dcterms:W3CDTF">2017-10-30T09:31:00Z</dcterms:created>
  <dcterms:modified xsi:type="dcterms:W3CDTF">2017-11-07T08:30:00Z</dcterms:modified>
</cp:coreProperties>
</file>