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4D35EE" w:rsidRDefault="003E3E45" w:rsidP="0077235E">
      <w:pPr>
        <w:pStyle w:val="Nagwek"/>
        <w:spacing w:line="360" w:lineRule="auto"/>
        <w:rPr>
          <w:sz w:val="24"/>
          <w:szCs w:val="24"/>
        </w:rPr>
      </w:pPr>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0" w:name="_Toc422949625"/>
      <w:bookmarkStart w:id="1"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0"/>
    <w:bookmarkEnd w:id="1"/>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2CE1BC85" w:rsidR="00A437AB" w:rsidRPr="004D35EE" w:rsidRDefault="004B3C58" w:rsidP="00606B1F">
      <w:pPr>
        <w:spacing w:line="360" w:lineRule="auto"/>
        <w:jc w:val="center"/>
        <w:rPr>
          <w:sz w:val="24"/>
          <w:szCs w:val="24"/>
        </w:rPr>
      </w:pPr>
      <w:r w:rsidRPr="004D35EE">
        <w:rPr>
          <w:sz w:val="24"/>
          <w:szCs w:val="24"/>
        </w:rPr>
        <w:t xml:space="preserve">Wrocław, </w:t>
      </w:r>
      <w:r w:rsidR="003912F7" w:rsidRPr="004D35EE">
        <w:rPr>
          <w:sz w:val="24"/>
          <w:szCs w:val="24"/>
        </w:rPr>
        <w:t xml:space="preserve">maj </w:t>
      </w:r>
      <w:r w:rsidR="007A75F7" w:rsidRPr="004D35EE">
        <w:rPr>
          <w:sz w:val="24"/>
          <w:szCs w:val="24"/>
        </w:rPr>
        <w:t>201</w:t>
      </w:r>
      <w:r w:rsidR="009E7568" w:rsidRPr="004D35EE">
        <w:rPr>
          <w:sz w:val="24"/>
          <w:szCs w:val="24"/>
        </w:rPr>
        <w:t>9</w:t>
      </w:r>
    </w:p>
    <w:bookmarkStart w:id="2" w:name="_Toc426632912" w:displacedByCustomXml="next"/>
    <w:bookmarkStart w:id="3" w:name="_Toc430826815" w:displacedByCustomXml="next"/>
    <w:bookmarkStart w:id="4" w:name="_Toc432758963"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hyperlink w:anchor="_Toc7696214" w:history="1">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5540B">
              <w:rPr>
                <w:b w:val="0"/>
                <w:noProof/>
                <w:webHidden/>
                <w:sz w:val="24"/>
                <w:szCs w:val="24"/>
              </w:rPr>
              <w:t>4</w:t>
            </w:r>
            <w:r w:rsidRPr="004D35EE">
              <w:rPr>
                <w:b w:val="0"/>
                <w:noProof/>
                <w:webHidden/>
                <w:sz w:val="24"/>
                <w:szCs w:val="24"/>
              </w:rPr>
              <w:fldChar w:fldCharType="end"/>
            </w:r>
          </w:hyperlink>
        </w:p>
        <w:p w14:paraId="72320FB5"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5" w:history="1">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w:t>
            </w:r>
            <w:r w:rsidR="00F14AF5" w:rsidRPr="004D35EE">
              <w:rPr>
                <w:b w:val="0"/>
                <w:noProof/>
                <w:webHidden/>
                <w:sz w:val="24"/>
                <w:szCs w:val="24"/>
              </w:rPr>
              <w:fldChar w:fldCharType="end"/>
            </w:r>
          </w:hyperlink>
        </w:p>
        <w:p w14:paraId="059192F6"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6" w:history="1">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7</w:t>
            </w:r>
            <w:r w:rsidR="00F14AF5" w:rsidRPr="004D35EE">
              <w:rPr>
                <w:b w:val="0"/>
                <w:noProof/>
                <w:webHidden/>
                <w:sz w:val="24"/>
                <w:szCs w:val="24"/>
              </w:rPr>
              <w:fldChar w:fldCharType="end"/>
            </w:r>
          </w:hyperlink>
        </w:p>
        <w:p w14:paraId="3CBF92C0"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7" w:history="1">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8</w:t>
            </w:r>
            <w:r w:rsidR="00F14AF5" w:rsidRPr="004D35EE">
              <w:rPr>
                <w:b w:val="0"/>
                <w:noProof/>
                <w:webHidden/>
                <w:sz w:val="24"/>
                <w:szCs w:val="24"/>
              </w:rPr>
              <w:fldChar w:fldCharType="end"/>
            </w:r>
          </w:hyperlink>
        </w:p>
        <w:p w14:paraId="1C6DB01C"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8" w:history="1">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12</w:t>
            </w:r>
            <w:r w:rsidR="00F14AF5" w:rsidRPr="004D35EE">
              <w:rPr>
                <w:b w:val="0"/>
                <w:noProof/>
                <w:webHidden/>
                <w:sz w:val="24"/>
                <w:szCs w:val="24"/>
              </w:rPr>
              <w:fldChar w:fldCharType="end"/>
            </w:r>
          </w:hyperlink>
        </w:p>
        <w:p w14:paraId="3709EC47"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9" w:history="1">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14</w:t>
            </w:r>
            <w:r w:rsidR="00F14AF5" w:rsidRPr="004D35EE">
              <w:rPr>
                <w:b w:val="0"/>
                <w:noProof/>
                <w:webHidden/>
                <w:sz w:val="24"/>
                <w:szCs w:val="24"/>
              </w:rPr>
              <w:fldChar w:fldCharType="end"/>
            </w:r>
          </w:hyperlink>
        </w:p>
        <w:p w14:paraId="12BA2BEC" w14:textId="5C9FDC86"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0" w:history="1">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14</w:t>
            </w:r>
            <w:r w:rsidR="00F14AF5" w:rsidRPr="004D35EE">
              <w:rPr>
                <w:b w:val="0"/>
                <w:noProof/>
                <w:webHidden/>
                <w:sz w:val="24"/>
                <w:szCs w:val="24"/>
              </w:rPr>
              <w:fldChar w:fldCharType="end"/>
            </w:r>
          </w:hyperlink>
        </w:p>
        <w:p w14:paraId="0B33C532"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1" w:history="1">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15</w:t>
            </w:r>
            <w:r w:rsidR="00F14AF5" w:rsidRPr="004D35EE">
              <w:rPr>
                <w:b w:val="0"/>
                <w:noProof/>
                <w:webHidden/>
                <w:sz w:val="24"/>
                <w:szCs w:val="24"/>
              </w:rPr>
              <w:fldChar w:fldCharType="end"/>
            </w:r>
          </w:hyperlink>
        </w:p>
        <w:p w14:paraId="5C20B514" w14:textId="77777777" w:rsidR="00F14AF5" w:rsidRPr="004D35EE" w:rsidRDefault="00876B42"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2" w:history="1">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15</w:t>
            </w:r>
            <w:r w:rsidR="00F14AF5" w:rsidRPr="004D35EE">
              <w:rPr>
                <w:b w:val="0"/>
                <w:noProof/>
                <w:webHidden/>
                <w:sz w:val="24"/>
                <w:szCs w:val="24"/>
              </w:rPr>
              <w:fldChar w:fldCharType="end"/>
            </w:r>
          </w:hyperlink>
        </w:p>
        <w:p w14:paraId="6DCF96A8"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3" w:history="1">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16</w:t>
            </w:r>
            <w:r w:rsidR="00F14AF5" w:rsidRPr="004D35EE">
              <w:rPr>
                <w:b w:val="0"/>
                <w:noProof/>
                <w:webHidden/>
                <w:sz w:val="24"/>
                <w:szCs w:val="24"/>
              </w:rPr>
              <w:fldChar w:fldCharType="end"/>
            </w:r>
          </w:hyperlink>
        </w:p>
        <w:p w14:paraId="4FD3956E"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4" w:history="1">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18</w:t>
            </w:r>
            <w:r w:rsidR="00F14AF5" w:rsidRPr="004D35EE">
              <w:rPr>
                <w:b w:val="0"/>
                <w:noProof/>
                <w:webHidden/>
                <w:sz w:val="24"/>
                <w:szCs w:val="24"/>
              </w:rPr>
              <w:fldChar w:fldCharType="end"/>
            </w:r>
          </w:hyperlink>
        </w:p>
        <w:p w14:paraId="0318741B"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5" w:history="1">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21</w:t>
            </w:r>
            <w:r w:rsidR="00F14AF5" w:rsidRPr="004D35EE">
              <w:rPr>
                <w:b w:val="0"/>
                <w:noProof/>
                <w:webHidden/>
                <w:sz w:val="24"/>
                <w:szCs w:val="24"/>
              </w:rPr>
              <w:fldChar w:fldCharType="end"/>
            </w:r>
          </w:hyperlink>
        </w:p>
        <w:p w14:paraId="5C2AECCD"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6" w:history="1">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24</w:t>
            </w:r>
            <w:r w:rsidR="00F14AF5" w:rsidRPr="004D35EE">
              <w:rPr>
                <w:b w:val="0"/>
                <w:noProof/>
                <w:webHidden/>
                <w:sz w:val="24"/>
                <w:szCs w:val="24"/>
              </w:rPr>
              <w:fldChar w:fldCharType="end"/>
            </w:r>
          </w:hyperlink>
        </w:p>
        <w:p w14:paraId="75CB48C4"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7" w:history="1">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24</w:t>
            </w:r>
            <w:r w:rsidR="00F14AF5" w:rsidRPr="004D35EE">
              <w:rPr>
                <w:b w:val="0"/>
                <w:noProof/>
                <w:webHidden/>
                <w:sz w:val="24"/>
                <w:szCs w:val="24"/>
              </w:rPr>
              <w:fldChar w:fldCharType="end"/>
            </w:r>
          </w:hyperlink>
        </w:p>
        <w:p w14:paraId="12B3854F"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8" w:history="1">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25</w:t>
            </w:r>
            <w:r w:rsidR="00F14AF5" w:rsidRPr="004D35EE">
              <w:rPr>
                <w:b w:val="0"/>
                <w:noProof/>
                <w:webHidden/>
                <w:sz w:val="24"/>
                <w:szCs w:val="24"/>
              </w:rPr>
              <w:fldChar w:fldCharType="end"/>
            </w:r>
          </w:hyperlink>
        </w:p>
        <w:p w14:paraId="0C0DF627"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9" w:history="1">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27</w:t>
            </w:r>
            <w:r w:rsidR="00F14AF5" w:rsidRPr="004D35EE">
              <w:rPr>
                <w:b w:val="0"/>
                <w:noProof/>
                <w:webHidden/>
                <w:sz w:val="24"/>
                <w:szCs w:val="24"/>
              </w:rPr>
              <w:fldChar w:fldCharType="end"/>
            </w:r>
          </w:hyperlink>
        </w:p>
        <w:p w14:paraId="0EA8F077"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0" w:history="1">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31</w:t>
            </w:r>
            <w:r w:rsidR="00F14AF5" w:rsidRPr="004D35EE">
              <w:rPr>
                <w:b w:val="0"/>
                <w:noProof/>
                <w:webHidden/>
                <w:sz w:val="24"/>
                <w:szCs w:val="24"/>
              </w:rPr>
              <w:fldChar w:fldCharType="end"/>
            </w:r>
          </w:hyperlink>
        </w:p>
        <w:p w14:paraId="021DC4D9" w14:textId="4EE8A8E3"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1" w:history="1">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34</w:t>
            </w:r>
            <w:r w:rsidR="00F14AF5" w:rsidRPr="004D35EE">
              <w:rPr>
                <w:b w:val="0"/>
                <w:noProof/>
                <w:webHidden/>
                <w:sz w:val="24"/>
                <w:szCs w:val="24"/>
              </w:rPr>
              <w:fldChar w:fldCharType="end"/>
            </w:r>
          </w:hyperlink>
        </w:p>
        <w:p w14:paraId="4B157479"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2" w:history="1">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36</w:t>
            </w:r>
            <w:r w:rsidR="00F14AF5" w:rsidRPr="004D35EE">
              <w:rPr>
                <w:b w:val="0"/>
                <w:noProof/>
                <w:webHidden/>
                <w:sz w:val="24"/>
                <w:szCs w:val="24"/>
              </w:rPr>
              <w:fldChar w:fldCharType="end"/>
            </w:r>
          </w:hyperlink>
        </w:p>
        <w:p w14:paraId="11223648" w14:textId="2CC482EA"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3" w:history="1">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36</w:t>
            </w:r>
            <w:r w:rsidR="00F14AF5" w:rsidRPr="004D35EE">
              <w:rPr>
                <w:b w:val="0"/>
                <w:noProof/>
                <w:webHidden/>
                <w:sz w:val="24"/>
                <w:szCs w:val="24"/>
              </w:rPr>
              <w:fldChar w:fldCharType="end"/>
            </w:r>
          </w:hyperlink>
        </w:p>
        <w:p w14:paraId="688916FC"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4" w:history="1">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41</w:t>
            </w:r>
            <w:r w:rsidR="00F14AF5" w:rsidRPr="004D35EE">
              <w:rPr>
                <w:b w:val="0"/>
                <w:noProof/>
                <w:webHidden/>
                <w:sz w:val="24"/>
                <w:szCs w:val="24"/>
              </w:rPr>
              <w:fldChar w:fldCharType="end"/>
            </w:r>
          </w:hyperlink>
        </w:p>
        <w:p w14:paraId="6E43AF8A"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5" w:history="1">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42</w:t>
            </w:r>
            <w:r w:rsidR="00F14AF5" w:rsidRPr="004D35EE">
              <w:rPr>
                <w:b w:val="0"/>
                <w:noProof/>
                <w:webHidden/>
                <w:sz w:val="24"/>
                <w:szCs w:val="24"/>
              </w:rPr>
              <w:fldChar w:fldCharType="end"/>
            </w:r>
          </w:hyperlink>
        </w:p>
        <w:p w14:paraId="35B233D9"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6" w:history="1">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43</w:t>
            </w:r>
            <w:r w:rsidR="00F14AF5" w:rsidRPr="004D35EE">
              <w:rPr>
                <w:b w:val="0"/>
                <w:noProof/>
                <w:webHidden/>
                <w:sz w:val="24"/>
                <w:szCs w:val="24"/>
              </w:rPr>
              <w:fldChar w:fldCharType="end"/>
            </w:r>
          </w:hyperlink>
        </w:p>
        <w:p w14:paraId="107BE945"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7" w:history="1">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43</w:t>
            </w:r>
            <w:r w:rsidR="00F14AF5" w:rsidRPr="004D35EE">
              <w:rPr>
                <w:b w:val="0"/>
                <w:noProof/>
                <w:webHidden/>
                <w:sz w:val="24"/>
                <w:szCs w:val="24"/>
              </w:rPr>
              <w:fldChar w:fldCharType="end"/>
            </w:r>
          </w:hyperlink>
        </w:p>
        <w:p w14:paraId="7CB0C2F2"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8" w:history="1">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47</w:t>
            </w:r>
            <w:r w:rsidR="00F14AF5" w:rsidRPr="004D35EE">
              <w:rPr>
                <w:b w:val="0"/>
                <w:noProof/>
                <w:webHidden/>
                <w:sz w:val="24"/>
                <w:szCs w:val="24"/>
              </w:rPr>
              <w:fldChar w:fldCharType="end"/>
            </w:r>
          </w:hyperlink>
        </w:p>
        <w:p w14:paraId="2433B7AD" w14:textId="7A64192A"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9" w:history="1">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49</w:t>
            </w:r>
            <w:r w:rsidR="00F14AF5" w:rsidRPr="004D35EE">
              <w:rPr>
                <w:b w:val="0"/>
                <w:noProof/>
                <w:webHidden/>
                <w:sz w:val="24"/>
                <w:szCs w:val="24"/>
              </w:rPr>
              <w:fldChar w:fldCharType="end"/>
            </w:r>
          </w:hyperlink>
        </w:p>
        <w:p w14:paraId="6F1A21C4" w14:textId="74B3FC29"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0" w:history="1">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49</w:t>
            </w:r>
            <w:r w:rsidR="00F14AF5" w:rsidRPr="004D35EE">
              <w:rPr>
                <w:b w:val="0"/>
                <w:noProof/>
                <w:webHidden/>
                <w:sz w:val="24"/>
                <w:szCs w:val="24"/>
              </w:rPr>
              <w:fldChar w:fldCharType="end"/>
            </w:r>
          </w:hyperlink>
        </w:p>
        <w:p w14:paraId="588E45B3"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1" w:history="1">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50</w:t>
            </w:r>
            <w:r w:rsidR="00F14AF5" w:rsidRPr="004D35EE">
              <w:rPr>
                <w:b w:val="0"/>
                <w:noProof/>
                <w:webHidden/>
                <w:sz w:val="24"/>
                <w:szCs w:val="24"/>
              </w:rPr>
              <w:fldChar w:fldCharType="end"/>
            </w:r>
          </w:hyperlink>
        </w:p>
        <w:p w14:paraId="6514DAA3" w14:textId="06E52A9D"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2" w:history="1">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50</w:t>
            </w:r>
            <w:r w:rsidR="00F14AF5" w:rsidRPr="004D35EE">
              <w:rPr>
                <w:b w:val="0"/>
                <w:noProof/>
                <w:webHidden/>
                <w:sz w:val="24"/>
                <w:szCs w:val="24"/>
              </w:rPr>
              <w:fldChar w:fldCharType="end"/>
            </w:r>
          </w:hyperlink>
        </w:p>
        <w:p w14:paraId="6C148DA8"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3" w:history="1">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51</w:t>
            </w:r>
            <w:r w:rsidR="00F14AF5" w:rsidRPr="004D35EE">
              <w:rPr>
                <w:b w:val="0"/>
                <w:noProof/>
                <w:webHidden/>
                <w:sz w:val="24"/>
                <w:szCs w:val="24"/>
              </w:rPr>
              <w:fldChar w:fldCharType="end"/>
            </w:r>
          </w:hyperlink>
        </w:p>
        <w:p w14:paraId="6B8B5C31"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4" w:history="1">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53</w:t>
            </w:r>
            <w:r w:rsidR="00F14AF5" w:rsidRPr="004D35EE">
              <w:rPr>
                <w:b w:val="0"/>
                <w:noProof/>
                <w:webHidden/>
                <w:sz w:val="24"/>
                <w:szCs w:val="24"/>
              </w:rPr>
              <w:fldChar w:fldCharType="end"/>
            </w:r>
          </w:hyperlink>
        </w:p>
        <w:p w14:paraId="5C5CAEDF"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5" w:history="1">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55</w:t>
            </w:r>
            <w:r w:rsidR="00F14AF5" w:rsidRPr="004D35EE">
              <w:rPr>
                <w:b w:val="0"/>
                <w:noProof/>
                <w:webHidden/>
                <w:sz w:val="24"/>
                <w:szCs w:val="24"/>
              </w:rPr>
              <w:fldChar w:fldCharType="end"/>
            </w:r>
          </w:hyperlink>
        </w:p>
        <w:p w14:paraId="6AAD9094"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6" w:history="1">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57</w:t>
            </w:r>
            <w:r w:rsidR="00F14AF5" w:rsidRPr="004D35EE">
              <w:rPr>
                <w:b w:val="0"/>
                <w:noProof/>
                <w:webHidden/>
                <w:sz w:val="24"/>
                <w:szCs w:val="24"/>
              </w:rPr>
              <w:fldChar w:fldCharType="end"/>
            </w:r>
          </w:hyperlink>
        </w:p>
        <w:p w14:paraId="1F90695D"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7" w:history="1">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60</w:t>
            </w:r>
            <w:r w:rsidR="00F14AF5" w:rsidRPr="004D35EE">
              <w:rPr>
                <w:b w:val="0"/>
                <w:noProof/>
                <w:webHidden/>
                <w:sz w:val="24"/>
                <w:szCs w:val="24"/>
              </w:rPr>
              <w:fldChar w:fldCharType="end"/>
            </w:r>
          </w:hyperlink>
        </w:p>
        <w:p w14:paraId="0226E856" w14:textId="77777777" w:rsidR="00F14AF5" w:rsidRPr="004D35EE" w:rsidRDefault="00876B42"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8" w:history="1">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63</w:t>
            </w:r>
            <w:r w:rsidR="00F14AF5" w:rsidRPr="004D35EE">
              <w:rPr>
                <w:b w:val="0"/>
                <w:noProof/>
                <w:webHidden/>
                <w:sz w:val="24"/>
                <w:szCs w:val="24"/>
              </w:rPr>
              <w:fldChar w:fldCharType="end"/>
            </w:r>
          </w:hyperlink>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5" w:name="_Toc524512195"/>
      <w:bookmarkStart w:id="6" w:name="_Toc524512243"/>
      <w:bookmarkStart w:id="7" w:name="_Toc536524883"/>
      <w:bookmarkStart w:id="8" w:name="_Toc536525076"/>
      <w:bookmarkStart w:id="9" w:name="_Toc7696214"/>
      <w:r w:rsidRPr="004D35EE">
        <w:br w:type="page"/>
      </w:r>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5"/>
      <w:bookmarkEnd w:id="6"/>
      <w:bookmarkEnd w:id="7"/>
      <w:bookmarkEnd w:id="8"/>
      <w:bookmarkEnd w:id="9"/>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 xml:space="preserve">z </w:t>
      </w:r>
      <w:proofErr w:type="spellStart"/>
      <w:r w:rsidR="007208F2" w:rsidRPr="004D35EE">
        <w:rPr>
          <w:rFonts w:cs="Calibri"/>
          <w:color w:val="000000"/>
          <w:sz w:val="24"/>
          <w:szCs w:val="24"/>
        </w:rPr>
        <w:t>późn</w:t>
      </w:r>
      <w:proofErr w:type="spellEnd"/>
      <w:r w:rsidR="007208F2" w:rsidRPr="004D35EE">
        <w:rPr>
          <w:rFonts w:cs="Calibri"/>
          <w:color w:val="000000"/>
          <w:sz w:val="24"/>
          <w:szCs w:val="24"/>
        </w:rPr>
        <w:t>.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10"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w:t>
      </w:r>
      <w:proofErr w:type="spellStart"/>
      <w:r w:rsidR="00614A05" w:rsidRPr="004D35EE">
        <w:rPr>
          <w:rFonts w:cs="Calibri"/>
          <w:color w:val="000000"/>
          <w:sz w:val="24"/>
          <w:szCs w:val="24"/>
        </w:rPr>
        <w:t>późn</w:t>
      </w:r>
      <w:proofErr w:type="spellEnd"/>
      <w:r w:rsidR="00614A05" w:rsidRPr="004D35EE">
        <w:rPr>
          <w:rFonts w:cs="Calibri"/>
          <w:color w:val="000000"/>
          <w:sz w:val="24"/>
          <w:szCs w:val="24"/>
        </w:rPr>
        <w:t>. zm.)</w:t>
      </w:r>
    </w:p>
    <w:bookmarkEnd w:id="10"/>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 xml:space="preserve">ZIT </w:t>
      </w:r>
      <w:proofErr w:type="spellStart"/>
      <w:r w:rsidRPr="004D35EE">
        <w:rPr>
          <w:rFonts w:cs="Calibri"/>
          <w:b/>
          <w:color w:val="000000"/>
          <w:sz w:val="24"/>
          <w:szCs w:val="24"/>
        </w:rPr>
        <w:t>WrOF</w:t>
      </w:r>
      <w:proofErr w:type="spellEnd"/>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11" w:name="_Toc524512196"/>
      <w:bookmarkStart w:id="12" w:name="_Toc524512244"/>
      <w:bookmarkStart w:id="13" w:name="_Toc536524884"/>
      <w:bookmarkStart w:id="14" w:name="_Toc536525077"/>
      <w:bookmarkStart w:id="15" w:name="_Toc7696215"/>
      <w:r w:rsidRPr="004D35EE">
        <w:rPr>
          <w:rFonts w:asciiTheme="minorHAnsi" w:hAnsiTheme="minorHAnsi"/>
        </w:rPr>
        <w:t>Regulamin konkursu</w:t>
      </w:r>
      <w:bookmarkEnd w:id="4"/>
      <w:bookmarkEnd w:id="3"/>
      <w:bookmarkEnd w:id="2"/>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11"/>
      <w:bookmarkEnd w:id="12"/>
      <w:bookmarkEnd w:id="13"/>
      <w:bookmarkEnd w:id="14"/>
      <w:bookmarkEnd w:id="15"/>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proofErr w:type="spellStart"/>
      <w:r w:rsidR="0023764D" w:rsidRPr="004D35EE">
        <w:rPr>
          <w:rFonts w:cs="Arial"/>
          <w:b/>
          <w:sz w:val="24"/>
          <w:szCs w:val="24"/>
          <w:u w:val="single"/>
        </w:rPr>
        <w:t>WrOF</w:t>
      </w:r>
      <w:proofErr w:type="spellEnd"/>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1"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2"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16" w:name="_Toc524512197"/>
      <w:bookmarkStart w:id="17" w:name="_Toc524512245"/>
      <w:bookmarkStart w:id="18" w:name="_Toc536524885"/>
      <w:bookmarkStart w:id="19" w:name="_Toc536525078"/>
      <w:bookmarkStart w:id="20" w:name="_Toc7696216"/>
      <w:r w:rsidRPr="004D35EE">
        <w:rPr>
          <w:rFonts w:asciiTheme="minorHAnsi" w:hAnsiTheme="minorHAnsi"/>
        </w:rPr>
        <w:t>Pełna nazwa i adres właściwej instytucji organizującej konkurs</w:t>
      </w:r>
      <w:bookmarkEnd w:id="16"/>
      <w:bookmarkEnd w:id="17"/>
      <w:bookmarkEnd w:id="18"/>
      <w:bookmarkEnd w:id="19"/>
      <w:bookmarkEnd w:id="20"/>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 xml:space="preserve">stytucji Organizującej Konkurs oraz Gmina Wrocław pełniąca funkcję IP w ramach instrumentu Zintegrowane Inwestycje Terytorialne Wrocławskiego Obszaru Funkcjonalnego (ZIT </w:t>
      </w:r>
      <w:proofErr w:type="spellStart"/>
      <w:r w:rsidR="00C24979" w:rsidRPr="004D35EE">
        <w:rPr>
          <w:rFonts w:eastAsia="Times New Roman" w:cs="Calibri"/>
          <w:color w:val="000000"/>
          <w:sz w:val="24"/>
          <w:szCs w:val="24"/>
          <w:lang w:eastAsia="pl-PL"/>
        </w:rPr>
        <w:t>WrOF</w:t>
      </w:r>
      <w:proofErr w:type="spellEnd"/>
      <w:r w:rsidR="00C24979" w:rsidRPr="004D35EE">
        <w:rPr>
          <w:rFonts w:eastAsia="Times New Roman" w:cs="Calibri"/>
          <w:color w:val="000000"/>
          <w:sz w:val="24"/>
          <w:szCs w:val="24"/>
          <w:lang w:eastAsia="pl-PL"/>
        </w:rPr>
        <w:t>).</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 xml:space="preserve">Gminą Wrocław pełniącą funkcję lidera ZIT </w:t>
      </w:r>
      <w:proofErr w:type="spellStart"/>
      <w:r w:rsidR="00BF74F0" w:rsidRPr="004D35EE">
        <w:rPr>
          <w:sz w:val="24"/>
          <w:szCs w:val="24"/>
        </w:rPr>
        <w:t>WrOF</w:t>
      </w:r>
      <w:proofErr w:type="spellEnd"/>
      <w:r w:rsidR="00BF74F0" w:rsidRPr="004D35EE">
        <w:rPr>
          <w:sz w:val="24"/>
          <w:szCs w:val="24"/>
        </w:rPr>
        <w:t xml:space="preserve">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21" w:name="_Toc524512198"/>
      <w:bookmarkStart w:id="22" w:name="_Toc524512246"/>
      <w:bookmarkStart w:id="23" w:name="_Toc536524886"/>
      <w:bookmarkStart w:id="24" w:name="_Toc536525079"/>
      <w:bookmarkStart w:id="25" w:name="_Toc7696217"/>
      <w:r w:rsidRPr="004D35EE">
        <w:rPr>
          <w:rFonts w:asciiTheme="minorHAnsi" w:hAnsiTheme="minorHAnsi"/>
        </w:rPr>
        <w:lastRenderedPageBreak/>
        <w:t>Podstawy prawne oraz inne ważne dokumenty</w:t>
      </w:r>
      <w:bookmarkEnd w:id="21"/>
      <w:bookmarkEnd w:id="22"/>
      <w:bookmarkEnd w:id="23"/>
      <w:bookmarkEnd w:id="24"/>
      <w:bookmarkEnd w:id="25"/>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 xml:space="preserve">dy (UE, </w:t>
      </w:r>
      <w:proofErr w:type="spellStart"/>
      <w:r w:rsidR="00C33FD4">
        <w:rPr>
          <w:rFonts w:asciiTheme="minorHAnsi" w:hAnsiTheme="minorHAnsi"/>
          <w:sz w:val="24"/>
          <w:szCs w:val="24"/>
        </w:rPr>
        <w:t>Euratom</w:t>
      </w:r>
      <w:proofErr w:type="spellEnd"/>
      <w:r w:rsidR="00C33FD4">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 xml:space="preserve">z </w:t>
      </w:r>
      <w:proofErr w:type="spellStart"/>
      <w:r w:rsidR="00341FC3" w:rsidRPr="004D35EE">
        <w:rPr>
          <w:rFonts w:asciiTheme="minorHAnsi" w:hAnsiTheme="minorHAnsi"/>
          <w:sz w:val="24"/>
          <w:szCs w:val="24"/>
        </w:rPr>
        <w:t>późn</w:t>
      </w:r>
      <w:proofErr w:type="spellEnd"/>
      <w:r w:rsidR="00341FC3"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 xml:space="preserve">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w ramach regionalnych programów operacyjnych na lata 2014–2020 (Dz. U. z 2015 r. poz. </w:t>
      </w:r>
      <w:r w:rsidR="0080608C" w:rsidRPr="004D35EE">
        <w:rPr>
          <w:rFonts w:asciiTheme="minorHAnsi" w:hAnsiTheme="minorHAnsi"/>
          <w:sz w:val="24"/>
          <w:szCs w:val="24"/>
        </w:rPr>
        <w:t xml:space="preserve">1760 z </w:t>
      </w:r>
      <w:proofErr w:type="spellStart"/>
      <w:r w:rsidR="0080608C" w:rsidRPr="004D35EE">
        <w:rPr>
          <w:rFonts w:asciiTheme="minorHAnsi" w:hAnsiTheme="minorHAnsi"/>
          <w:sz w:val="24"/>
          <w:szCs w:val="24"/>
        </w:rPr>
        <w:t>późn</w:t>
      </w:r>
      <w:proofErr w:type="spellEnd"/>
      <w:r w:rsidR="0080608C" w:rsidRPr="004D35EE">
        <w:rPr>
          <w:rFonts w:asciiTheme="minorHAnsi" w:hAnsiTheme="minorHAnsi"/>
          <w:sz w:val="24"/>
          <w:szCs w:val="24"/>
        </w:rPr>
        <w:t>.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311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października 2000 r. ustanawiająca ramy wspólnotowego działania w dziedzinie polityki wodnej (Dz. Urz. UE L 327 z 22.12.2000, str.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w:t>
      </w:r>
      <w:proofErr w:type="spellStart"/>
      <w:r w:rsidR="002D337D" w:rsidRPr="004D35EE">
        <w:rPr>
          <w:rFonts w:asciiTheme="minorHAnsi" w:hAnsiTheme="minorHAnsi"/>
          <w:color w:val="000000"/>
          <w:sz w:val="24"/>
          <w:szCs w:val="24"/>
        </w:rPr>
        <w:t>późn</w:t>
      </w:r>
      <w:proofErr w:type="spellEnd"/>
      <w:r w:rsidR="002D337D" w:rsidRPr="004D35EE">
        <w:rPr>
          <w:rFonts w:asciiTheme="minorHAnsi" w:hAnsiTheme="minorHAnsi"/>
          <w:color w:val="000000"/>
          <w:sz w:val="24"/>
          <w:szCs w:val="24"/>
        </w:rPr>
        <w:t>.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w:t>
      </w:r>
      <w:proofErr w:type="spellStart"/>
      <w:r w:rsidR="005427CE" w:rsidRPr="004D35EE">
        <w:rPr>
          <w:rFonts w:asciiTheme="minorHAnsi" w:hAnsiTheme="minorHAnsi"/>
          <w:color w:val="000000"/>
          <w:sz w:val="24"/>
          <w:szCs w:val="24"/>
        </w:rPr>
        <w:t>pón</w:t>
      </w:r>
      <w:proofErr w:type="spellEnd"/>
      <w:r w:rsidR="005427CE" w:rsidRPr="004D35EE">
        <w:rPr>
          <w:rFonts w:asciiTheme="minorHAnsi" w:hAnsiTheme="minorHAnsi"/>
          <w:color w:val="000000"/>
          <w:sz w:val="24"/>
          <w:szCs w:val="24"/>
        </w:rPr>
        <w:t>.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xml:space="preserve">,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 xml:space="preserve">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w:t>
      </w:r>
      <w:proofErr w:type="spellStart"/>
      <w:r w:rsidR="00A111B4" w:rsidRPr="004D35EE">
        <w:rPr>
          <w:rFonts w:asciiTheme="minorHAnsi" w:hAnsiTheme="minorHAnsi"/>
          <w:color w:val="000000"/>
          <w:sz w:val="24"/>
          <w:szCs w:val="24"/>
        </w:rPr>
        <w:t>późn</w:t>
      </w:r>
      <w:proofErr w:type="spellEnd"/>
      <w:r w:rsidR="00A111B4"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w:t>
      </w:r>
      <w:r w:rsidR="00EA42B3" w:rsidRPr="004D35EE">
        <w:rPr>
          <w:rFonts w:asciiTheme="minorHAnsi" w:hAnsiTheme="minorHAnsi"/>
          <w:color w:val="000000"/>
          <w:sz w:val="24"/>
          <w:szCs w:val="24"/>
        </w:rPr>
        <w:t xml:space="preserve">1 z </w:t>
      </w:r>
      <w:proofErr w:type="spellStart"/>
      <w:r w:rsidR="00EA42B3" w:rsidRPr="004D35EE">
        <w:rPr>
          <w:rFonts w:asciiTheme="minorHAnsi" w:hAnsiTheme="minorHAnsi"/>
          <w:color w:val="000000"/>
          <w:sz w:val="24"/>
          <w:szCs w:val="24"/>
        </w:rPr>
        <w:t>późn</w:t>
      </w:r>
      <w:proofErr w:type="spellEnd"/>
      <w:r w:rsidR="00EA42B3"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w:t>
      </w:r>
      <w:proofErr w:type="spellStart"/>
      <w:r w:rsidR="00C64428" w:rsidRPr="004D35EE">
        <w:rPr>
          <w:rFonts w:asciiTheme="minorHAnsi" w:hAnsiTheme="minorHAnsi"/>
          <w:color w:val="000000"/>
          <w:sz w:val="24"/>
          <w:szCs w:val="24"/>
        </w:rPr>
        <w:t>późn</w:t>
      </w:r>
      <w:proofErr w:type="spellEnd"/>
      <w:r w:rsidR="00C64428" w:rsidRPr="004D35EE">
        <w:rPr>
          <w:rFonts w:asciiTheme="minorHAnsi" w:hAnsiTheme="minorHAnsi"/>
          <w:color w:val="000000"/>
          <w:sz w:val="24"/>
          <w:szCs w:val="24"/>
        </w:rPr>
        <w:t>.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26"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proofErr w:type="spellStart"/>
      <w:r w:rsidR="00595BBD" w:rsidRPr="004D35EE">
        <w:rPr>
          <w:rFonts w:asciiTheme="minorHAnsi" w:hAnsiTheme="minorHAnsi" w:cs="Calibri"/>
          <w:color w:val="000000"/>
          <w:spacing w:val="-4"/>
          <w:sz w:val="24"/>
          <w:szCs w:val="24"/>
        </w:rPr>
        <w:t>późn</w:t>
      </w:r>
      <w:proofErr w:type="spellEnd"/>
      <w:r w:rsidR="00595BBD" w:rsidRPr="004D35EE">
        <w:rPr>
          <w:rFonts w:asciiTheme="minorHAnsi" w:hAnsiTheme="minorHAnsi" w:cs="Calibri"/>
          <w:color w:val="000000"/>
          <w:spacing w:val="-4"/>
          <w:sz w:val="24"/>
          <w:szCs w:val="24"/>
        </w:rPr>
        <w:t xml:space="preserve">.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26"/>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w:t>
      </w:r>
      <w:proofErr w:type="spellStart"/>
      <w:r w:rsidR="00A2484B" w:rsidRPr="004D35EE">
        <w:rPr>
          <w:rFonts w:asciiTheme="minorHAnsi" w:hAnsiTheme="minorHAnsi"/>
          <w:color w:val="000000"/>
          <w:sz w:val="24"/>
          <w:szCs w:val="24"/>
        </w:rPr>
        <w:t>późn</w:t>
      </w:r>
      <w:proofErr w:type="spellEnd"/>
      <w:r w:rsidR="00A2484B" w:rsidRPr="004D35EE">
        <w:rPr>
          <w:rFonts w:asciiTheme="minorHAnsi" w:hAnsiTheme="minorHAnsi"/>
          <w:color w:val="000000"/>
          <w:sz w:val="24"/>
          <w:szCs w:val="24"/>
        </w:rPr>
        <w:t>.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4D35EE">
        <w:rPr>
          <w:rFonts w:asciiTheme="minorHAnsi" w:eastAsiaTheme="minorHAnsi" w:hAnsiTheme="minorHAnsi" w:cstheme="minorBidi"/>
          <w:color w:val="000000"/>
          <w:sz w:val="24"/>
          <w:szCs w:val="24"/>
          <w:lang w:eastAsia="en-US"/>
        </w:rPr>
        <w:t>późn</w:t>
      </w:r>
      <w:proofErr w:type="spellEnd"/>
      <w:r w:rsidRPr="004D35EE">
        <w:rPr>
          <w:rFonts w:asciiTheme="minorHAnsi" w:eastAsiaTheme="minorHAnsi" w:hAnsiTheme="minorHAnsi" w:cstheme="minorBidi"/>
          <w:color w:val="000000"/>
          <w:sz w:val="24"/>
          <w:szCs w:val="24"/>
          <w:lang w:eastAsia="en-US"/>
        </w:rPr>
        <w:t>.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3"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4"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27" w:name="_Toc524512199"/>
      <w:bookmarkStart w:id="28" w:name="_Toc524512247"/>
      <w:bookmarkStart w:id="29"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 xml:space="preserve">z </w:t>
      </w:r>
      <w:proofErr w:type="spellStart"/>
      <w:r w:rsidR="00C936A8">
        <w:rPr>
          <w:rFonts w:asciiTheme="minorHAnsi" w:hAnsiTheme="minorHAnsi" w:cs="Calibri"/>
          <w:sz w:val="24"/>
        </w:rPr>
        <w:t>późn</w:t>
      </w:r>
      <w:proofErr w:type="spellEnd"/>
      <w:r w:rsidR="00C936A8">
        <w:rPr>
          <w:rFonts w:asciiTheme="minorHAnsi" w:hAnsiTheme="minorHAnsi" w:cs="Calibri"/>
          <w:sz w:val="24"/>
        </w:rPr>
        <w:t>.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30" w:name="_Toc536524887"/>
      <w:bookmarkStart w:id="31" w:name="_Toc536525080"/>
      <w:bookmarkStart w:id="32" w:name="_Toc7696218"/>
      <w:r w:rsidRPr="004D35EE">
        <w:rPr>
          <w:rFonts w:asciiTheme="minorHAnsi" w:hAnsiTheme="minorHAnsi"/>
        </w:rPr>
        <w:t>Przedmiot konkursu, w tym typy projektów podlegających dofinansowaniu</w:t>
      </w:r>
      <w:bookmarkEnd w:id="27"/>
      <w:bookmarkEnd w:id="28"/>
      <w:bookmarkEnd w:id="30"/>
      <w:bookmarkEnd w:id="31"/>
      <w:bookmarkEnd w:id="32"/>
    </w:p>
    <w:p w14:paraId="2410F275" w14:textId="179769E1" w:rsidR="00C874B5" w:rsidRPr="004D35EE" w:rsidRDefault="00785CDB" w:rsidP="0077235E">
      <w:pPr>
        <w:spacing w:after="0" w:line="360" w:lineRule="auto"/>
        <w:rPr>
          <w:rFonts w:cs="Arial"/>
          <w:sz w:val="24"/>
          <w:szCs w:val="24"/>
        </w:rPr>
      </w:pPr>
      <w:bookmarkStart w:id="33" w:name="_Toc524512200"/>
      <w:bookmarkStart w:id="34" w:name="_Toc524512248"/>
      <w:bookmarkEnd w:id="29"/>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 xml:space="preserve">niepełnosprawnościami oraz być zgodna z zapisami Wytycznych w zakresie </w:t>
      </w:r>
      <w:r w:rsidRPr="004D35EE">
        <w:rPr>
          <w:rFonts w:cs="Arial"/>
          <w:sz w:val="24"/>
          <w:szCs w:val="24"/>
        </w:rPr>
        <w:lastRenderedPageBreak/>
        <w:t>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5"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 xml:space="preserve">Środki w zakresie dostosowania do zmiany klimatu oraz ochrona przed zagrożeniami związanymi z klimatem, np. erozją, pożarami, </w:t>
      </w:r>
      <w:r w:rsidR="004952B7" w:rsidRPr="004D35EE">
        <w:rPr>
          <w:sz w:val="24"/>
          <w:szCs w:val="24"/>
        </w:rPr>
        <w:lastRenderedPageBreak/>
        <w:t>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W ramach przedmiotowego naboru nie przewiduje się zastosowania mechanizmu finansowania krzyżowego – cross-</w:t>
      </w:r>
      <w:proofErr w:type="spellStart"/>
      <w:r w:rsidRPr="004D35EE">
        <w:rPr>
          <w:rFonts w:cs="Arial"/>
          <w:sz w:val="24"/>
          <w:szCs w:val="24"/>
        </w:rPr>
        <w:t>financingu</w:t>
      </w:r>
      <w:proofErr w:type="spellEnd"/>
      <w:r w:rsidRPr="004D35EE">
        <w:rPr>
          <w:rFonts w:cs="Arial"/>
          <w:sz w:val="24"/>
          <w:szCs w:val="24"/>
        </w:rPr>
        <w:t xml:space="preserve">. </w:t>
      </w:r>
    </w:p>
    <w:p w14:paraId="57FDB9F0" w14:textId="77777777" w:rsidR="003C4247" w:rsidRPr="004D35EE" w:rsidRDefault="003C4247" w:rsidP="0077235E">
      <w:pPr>
        <w:pStyle w:val="Nagwek1"/>
        <w:spacing w:line="360" w:lineRule="auto"/>
        <w:rPr>
          <w:rFonts w:asciiTheme="minorHAnsi" w:hAnsiTheme="minorHAnsi"/>
        </w:rPr>
      </w:pPr>
      <w:bookmarkStart w:id="35" w:name="_Toc536524888"/>
      <w:bookmarkStart w:id="36" w:name="_Toc536525081"/>
      <w:bookmarkStart w:id="37"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33"/>
      <w:bookmarkEnd w:id="34"/>
      <w:bookmarkEnd w:id="35"/>
      <w:bookmarkEnd w:id="36"/>
      <w:bookmarkEnd w:id="37"/>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38" w:name="_Toc524512201"/>
      <w:bookmarkStart w:id="39" w:name="_Toc524512249"/>
      <w:bookmarkStart w:id="40" w:name="_Toc536524889"/>
      <w:bookmarkStart w:id="41" w:name="_Toc536525082"/>
      <w:bookmarkStart w:id="42"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38"/>
      <w:bookmarkEnd w:id="39"/>
      <w:bookmarkEnd w:id="40"/>
      <w:bookmarkEnd w:id="41"/>
      <w:bookmarkEnd w:id="42"/>
    </w:p>
    <w:p w14:paraId="2D65EEF9" w14:textId="3D730B03"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21 668 713 PLN.</w:t>
      </w:r>
    </w:p>
    <w:p w14:paraId="5163AA54" w14:textId="61A5E3B2"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xml:space="preserve">, wynosi 1 813 510 EUR, tj.  </w:t>
      </w:r>
      <w:r w:rsidR="00D06B7E" w:rsidRPr="004D35EE">
        <w:rPr>
          <w:sz w:val="24"/>
          <w:szCs w:val="24"/>
          <w:lang w:eastAsia="pl-PL"/>
        </w:rPr>
        <w:t>7 787 937 PLN.</w:t>
      </w:r>
    </w:p>
    <w:p w14:paraId="163F3ECE" w14:textId="12599F1C" w:rsidR="007B3B9D" w:rsidRPr="004D35EE" w:rsidRDefault="00831581" w:rsidP="0077235E">
      <w:pPr>
        <w:spacing w:line="360" w:lineRule="auto"/>
        <w:rPr>
          <w:sz w:val="24"/>
          <w:szCs w:val="24"/>
        </w:rPr>
      </w:pPr>
      <w:r w:rsidRPr="004D35EE">
        <w:rPr>
          <w:sz w:val="24"/>
          <w:szCs w:val="24"/>
          <w:lang w:eastAsia="pl-PL"/>
        </w:rPr>
        <w:lastRenderedPageBreak/>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Pr="004D35EE">
        <w:rPr>
          <w:sz w:val="24"/>
          <w:szCs w:val="24"/>
          <w:lang w:eastAsia="pl-PL"/>
        </w:rPr>
        <w:t xml:space="preserve">maju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 xml:space="preserve">4,2944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43"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43"/>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44" w:name="_Toc536524890"/>
      <w:bookmarkStart w:id="45" w:name="_Toc536525083"/>
      <w:bookmarkStart w:id="46" w:name="_Toc7696221"/>
      <w:bookmarkStart w:id="47" w:name="_Toc524512202"/>
      <w:bookmarkStart w:id="48" w:name="_Toc524512250"/>
      <w:r w:rsidRPr="004D35EE">
        <w:rPr>
          <w:rFonts w:asciiTheme="minorHAnsi" w:hAnsiTheme="minorHAnsi"/>
        </w:rPr>
        <w:t xml:space="preserve">Minimalna </w:t>
      </w:r>
      <w:r w:rsidR="009D79BB" w:rsidRPr="004D35EE">
        <w:rPr>
          <w:rFonts w:asciiTheme="minorHAnsi" w:hAnsiTheme="minorHAnsi"/>
        </w:rPr>
        <w:t>wartość projektu</w:t>
      </w:r>
      <w:bookmarkEnd w:id="44"/>
      <w:bookmarkEnd w:id="45"/>
      <w:bookmarkEnd w:id="46"/>
      <w:r w:rsidR="009D79BB" w:rsidRPr="004D35EE">
        <w:rPr>
          <w:rFonts w:asciiTheme="minorHAnsi" w:hAnsiTheme="minorHAnsi"/>
        </w:rPr>
        <w:t xml:space="preserve"> </w:t>
      </w:r>
      <w:bookmarkEnd w:id="47"/>
      <w:bookmarkEnd w:id="48"/>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49" w:name="_Toc536524891"/>
      <w:bookmarkStart w:id="50" w:name="_Toc536525084"/>
      <w:bookmarkStart w:id="51" w:name="_Toc7696222"/>
      <w:bookmarkStart w:id="52" w:name="_Toc524512203"/>
      <w:bookmarkStart w:id="53" w:name="_Toc524512251"/>
      <w:bookmarkStart w:id="54"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49"/>
      <w:bookmarkEnd w:id="50"/>
      <w:bookmarkEnd w:id="51"/>
      <w:r w:rsidRPr="004D35EE">
        <w:rPr>
          <w:rFonts w:asciiTheme="minorHAnsi" w:hAnsiTheme="minorHAnsi"/>
        </w:rPr>
        <w:t xml:space="preserve"> </w:t>
      </w:r>
      <w:bookmarkEnd w:id="52"/>
      <w:bookmarkEnd w:id="53"/>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54"/>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55" w:name="_Toc536524892"/>
      <w:bookmarkStart w:id="56" w:name="_Toc536525085"/>
      <w:bookmarkStart w:id="57" w:name="_Toc7696223"/>
      <w:r w:rsidRPr="004D35EE">
        <w:rPr>
          <w:rFonts w:asciiTheme="minorHAnsi" w:hAnsiTheme="minorHAnsi"/>
        </w:rPr>
        <w:lastRenderedPageBreak/>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55"/>
      <w:bookmarkEnd w:id="56"/>
      <w:bookmarkEnd w:id="57"/>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58" w:name="_Toc524512206"/>
      <w:bookmarkStart w:id="59" w:name="_Toc524512254"/>
      <w:bookmarkStart w:id="60" w:name="_Toc536524893"/>
      <w:bookmarkStart w:id="61" w:name="_Toc536525086"/>
      <w:bookmarkStart w:id="62"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lastRenderedPageBreak/>
        <w:t>Warunki stosowania uproszczonych form rozliczania wydatków i planowany zakres systemu zaliczek</w:t>
      </w:r>
      <w:bookmarkEnd w:id="58"/>
      <w:bookmarkEnd w:id="59"/>
      <w:bookmarkEnd w:id="60"/>
      <w:bookmarkEnd w:id="61"/>
      <w:bookmarkEnd w:id="62"/>
    </w:p>
    <w:p w14:paraId="368E205B" w14:textId="77777777" w:rsidR="00B56F2D" w:rsidRPr="004D35EE" w:rsidRDefault="00B56F2D" w:rsidP="0077235E">
      <w:pPr>
        <w:spacing w:after="0" w:line="360" w:lineRule="auto"/>
        <w:rPr>
          <w:rFonts w:cs="Arial"/>
          <w:sz w:val="24"/>
          <w:szCs w:val="24"/>
        </w:rPr>
      </w:pPr>
      <w:bookmarkStart w:id="63" w:name="_Toc524512207"/>
      <w:bookmarkStart w:id="64" w:name="_Toc524512255"/>
      <w:bookmarkStart w:id="65" w:name="_Toc536524894"/>
      <w:bookmarkStart w:id="66"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w:t>
      </w:r>
      <w:r w:rsidRPr="00CF4FD0">
        <w:rPr>
          <w:rFonts w:eastAsia="Calibri"/>
          <w:sz w:val="24"/>
          <w:szCs w:val="24"/>
        </w:rPr>
        <w:lastRenderedPageBreak/>
        <w:t>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lastRenderedPageBreak/>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lastRenderedPageBreak/>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67"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xml:space="preserve">, korekt finansowych, zastosowania reguły proporcjonalności za niezrealizowanie wskaźników w projekcie. </w:t>
      </w:r>
      <w:r w:rsidRPr="001C16B9">
        <w:rPr>
          <w:sz w:val="24"/>
          <w:szCs w:val="24"/>
        </w:rPr>
        <w:lastRenderedPageBreak/>
        <w:t>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lastRenderedPageBreak/>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lastRenderedPageBreak/>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63"/>
      <w:bookmarkEnd w:id="64"/>
      <w:bookmarkEnd w:id="65"/>
      <w:bookmarkEnd w:id="66"/>
      <w:bookmarkEnd w:id="67"/>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69" w:name="_Toc524512208"/>
      <w:bookmarkStart w:id="70" w:name="_Toc524512256"/>
      <w:bookmarkStart w:id="71" w:name="_Toc536524895"/>
      <w:bookmarkStart w:id="72"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6"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73"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69"/>
      <w:bookmarkEnd w:id="70"/>
      <w:bookmarkEnd w:id="71"/>
      <w:bookmarkEnd w:id="72"/>
      <w:bookmarkEnd w:id="73"/>
    </w:p>
    <w:p w14:paraId="3A713447" w14:textId="77777777" w:rsidR="003D3252" w:rsidRPr="004D35EE" w:rsidRDefault="003D3252" w:rsidP="0077235E">
      <w:pPr>
        <w:spacing w:line="360" w:lineRule="auto"/>
        <w:rPr>
          <w:sz w:val="24"/>
          <w:szCs w:val="24"/>
          <w:lang w:eastAsia="pl-PL"/>
        </w:rPr>
      </w:pPr>
      <w:bookmarkStart w:id="74" w:name="_Toc524512209"/>
      <w:bookmarkStart w:id="75" w:name="_Toc524512257"/>
      <w:bookmarkStart w:id="76" w:name="_Toc536524896"/>
      <w:bookmarkStart w:id="77"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w:t>
      </w:r>
      <w:r w:rsidRPr="004D35EE">
        <w:rPr>
          <w:rFonts w:asciiTheme="minorHAnsi" w:hAnsiTheme="minorHAnsi"/>
        </w:rPr>
        <w:lastRenderedPageBreak/>
        <w:t xml:space="preserve">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78"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74"/>
      <w:bookmarkEnd w:id="75"/>
      <w:bookmarkEnd w:id="76"/>
      <w:bookmarkEnd w:id="77"/>
      <w:bookmarkEnd w:id="78"/>
    </w:p>
    <w:p w14:paraId="3DDE95B8" w14:textId="77777777" w:rsidR="001E4F88" w:rsidRPr="004D35EE" w:rsidRDefault="001E4F88" w:rsidP="0077235E">
      <w:pPr>
        <w:pStyle w:val="Default"/>
        <w:spacing w:line="360" w:lineRule="auto"/>
        <w:rPr>
          <w:rFonts w:asciiTheme="minorHAnsi" w:hAnsiTheme="minorHAnsi"/>
          <w:color w:val="auto"/>
        </w:rPr>
      </w:pPr>
      <w:bookmarkStart w:id="79" w:name="_Toc524512210"/>
      <w:bookmarkStart w:id="80" w:name="_Toc524512258"/>
      <w:bookmarkStart w:id="81" w:name="_Toc536524897"/>
      <w:bookmarkStart w:id="82"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83" w:name="_Toc7696228"/>
      <w:r w:rsidRPr="004D35EE">
        <w:rPr>
          <w:rFonts w:asciiTheme="minorHAnsi" w:hAnsiTheme="minorHAnsi"/>
        </w:rPr>
        <w:t>Termin, miejsce i forma składania wniosków o dofinansowanie projektu</w:t>
      </w:r>
      <w:bookmarkEnd w:id="79"/>
      <w:bookmarkEnd w:id="80"/>
      <w:bookmarkEnd w:id="81"/>
      <w:bookmarkEnd w:id="82"/>
      <w:bookmarkEnd w:id="83"/>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w:t>
      </w:r>
      <w:r w:rsidR="0034696A" w:rsidRPr="004D35EE">
        <w:rPr>
          <w:sz w:val="24"/>
          <w:szCs w:val="24"/>
        </w:rPr>
        <w:lastRenderedPageBreak/>
        <w:t>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lastRenderedPageBreak/>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 xml:space="preserve">Wnioskodawca ma możliwość wycofania wniosku o dofinansowanie podczas trwania konkursu oraz na każdym etapie jego oceny. Należy wówczas dostarczyć do </w:t>
      </w:r>
      <w:r w:rsidRPr="004D35EE">
        <w:rPr>
          <w:sz w:val="24"/>
          <w:szCs w:val="24"/>
        </w:rPr>
        <w:lastRenderedPageBreak/>
        <w:t>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84" w:name="_Toc524512211"/>
      <w:bookmarkStart w:id="85" w:name="_Toc524512259"/>
      <w:bookmarkStart w:id="86" w:name="_Toc536524898"/>
      <w:bookmarkStart w:id="87" w:name="_Toc536525091"/>
      <w:bookmarkStart w:id="88" w:name="_Toc7696229"/>
      <w:r w:rsidRPr="004D35EE">
        <w:rPr>
          <w:rFonts w:asciiTheme="minorHAnsi" w:hAnsiTheme="minorHAnsi"/>
        </w:rPr>
        <w:t>Forma konkursu</w:t>
      </w:r>
      <w:bookmarkEnd w:id="84"/>
      <w:bookmarkEnd w:id="85"/>
      <w:bookmarkEnd w:id="86"/>
      <w:bookmarkEnd w:id="87"/>
      <w:bookmarkEnd w:id="88"/>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w:t>
      </w:r>
      <w:proofErr w:type="spellStart"/>
      <w:r w:rsidR="00972A72" w:rsidRPr="004D35EE">
        <w:rPr>
          <w:rFonts w:cs="Calibri"/>
          <w:color w:val="000000"/>
          <w:sz w:val="24"/>
          <w:szCs w:val="24"/>
        </w:rPr>
        <w:t>późn</w:t>
      </w:r>
      <w:proofErr w:type="spellEnd"/>
      <w:r w:rsidR="00972A72" w:rsidRPr="004D35EE">
        <w:rPr>
          <w:rFonts w:cs="Calibri"/>
          <w:color w:val="000000"/>
          <w:sz w:val="24"/>
          <w:szCs w:val="24"/>
        </w:rPr>
        <w:t xml:space="preserve">.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lastRenderedPageBreak/>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w:t>
      </w:r>
      <w:r w:rsidRPr="004D35EE">
        <w:rPr>
          <w:rFonts w:cs="Calibri"/>
          <w:sz w:val="24"/>
          <w:szCs w:val="24"/>
        </w:rPr>
        <w:lastRenderedPageBreak/>
        <w:t>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89" w:name="_Toc524512212"/>
      <w:bookmarkStart w:id="90" w:name="_Toc524512260"/>
      <w:bookmarkStart w:id="91" w:name="_Toc536524899"/>
      <w:bookmarkStart w:id="92" w:name="_Toc536525092"/>
      <w:bookmarkStart w:id="93" w:name="_Toc7696230"/>
      <w:r w:rsidRPr="004D35EE">
        <w:rPr>
          <w:rFonts w:asciiTheme="minorHAnsi" w:hAnsiTheme="minorHAnsi"/>
        </w:rPr>
        <w:lastRenderedPageBreak/>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89"/>
      <w:bookmarkEnd w:id="90"/>
      <w:bookmarkEnd w:id="91"/>
      <w:bookmarkEnd w:id="92"/>
      <w:bookmarkEnd w:id="93"/>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lastRenderedPageBreak/>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94" w:name="_Toc494282183"/>
      <w:r w:rsidRPr="004D35EE">
        <w:rPr>
          <w:rFonts w:asciiTheme="minorHAnsi" w:hAnsiTheme="minorHAnsi"/>
        </w:rPr>
        <w:t xml:space="preserve"> </w:t>
      </w:r>
      <w:bookmarkStart w:id="95" w:name="_Toc524512213"/>
      <w:bookmarkStart w:id="96" w:name="_Toc524512261"/>
      <w:bookmarkStart w:id="97" w:name="_Toc536524900"/>
      <w:bookmarkStart w:id="98" w:name="_Toc536525093"/>
      <w:bookmarkStart w:id="99"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94"/>
      <w:bookmarkEnd w:id="95"/>
      <w:bookmarkEnd w:id="96"/>
      <w:bookmarkEnd w:id="97"/>
      <w:bookmarkEnd w:id="98"/>
      <w:bookmarkEnd w:id="99"/>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w:t>
      </w:r>
      <w:r w:rsidRPr="004D35EE">
        <w:rPr>
          <w:sz w:val="24"/>
          <w:szCs w:val="24"/>
        </w:rPr>
        <w:lastRenderedPageBreak/>
        <w:t xml:space="preserve">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7"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8"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 xml:space="preserve">SNOW zarówno w przypadku, gdy dotyczą one warunków formalnych, oczywistych omyłek oraz wezwań do uzupełnienia i/lub </w:t>
      </w:r>
      <w:r w:rsidRPr="004D35EE">
        <w:rPr>
          <w:rFonts w:asciiTheme="minorHAnsi" w:eastAsia="SimSun" w:hAnsiTheme="minorHAnsi"/>
          <w:bCs/>
          <w:color w:val="000000"/>
          <w:kern w:val="3"/>
          <w:sz w:val="24"/>
          <w:szCs w:val="24"/>
        </w:rPr>
        <w:lastRenderedPageBreak/>
        <w:t>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00" w:name="_Toc524512214"/>
      <w:bookmarkStart w:id="101" w:name="_Toc524512262"/>
      <w:bookmarkStart w:id="102" w:name="_Toc536524901"/>
      <w:bookmarkStart w:id="103" w:name="_Toc536525094"/>
      <w:bookmarkStart w:id="104"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00"/>
      <w:bookmarkEnd w:id="101"/>
      <w:bookmarkEnd w:id="102"/>
      <w:bookmarkEnd w:id="103"/>
      <w:bookmarkEnd w:id="104"/>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w:t>
      </w:r>
      <w:r w:rsidRPr="004D35EE">
        <w:rPr>
          <w:rFonts w:cs="Arial"/>
          <w:sz w:val="24"/>
          <w:szCs w:val="24"/>
        </w:rPr>
        <w:lastRenderedPageBreak/>
        <w:t xml:space="preserve">Dolnośląskiego 2014-2020 i załączniki </w:t>
      </w:r>
      <w:r w:rsidRPr="004D35EE">
        <w:rPr>
          <w:sz w:val="24"/>
          <w:szCs w:val="24"/>
        </w:rPr>
        <w:t xml:space="preserve">zamieszczone są na stronach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20"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1"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2"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05" w:name="_Toc524512215"/>
      <w:bookmarkStart w:id="106" w:name="_Toc524512263"/>
      <w:bookmarkStart w:id="107" w:name="_Toc536524902"/>
      <w:bookmarkStart w:id="108" w:name="_Toc536525095"/>
      <w:bookmarkStart w:id="109"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05"/>
      <w:bookmarkEnd w:id="106"/>
      <w:bookmarkEnd w:id="107"/>
      <w:bookmarkEnd w:id="108"/>
      <w:bookmarkEnd w:id="109"/>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10" w:name="_Toc524512216"/>
      <w:bookmarkStart w:id="111" w:name="_Toc524512264"/>
      <w:bookmarkStart w:id="112" w:name="_Toc536524903"/>
      <w:bookmarkStart w:id="113"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3"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4"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xml:space="preserve">. Czynność (sprawdzenie) zostanie odnotowana w Liście sprawdzającej spełnienie warunków do podpisania umowy o dofinansowanie. Wynik negatywny (przekroczenie dopuszczalnego </w:t>
      </w:r>
      <w:r w:rsidRPr="004D35EE">
        <w:rPr>
          <w:sz w:val="24"/>
          <w:szCs w:val="24"/>
        </w:rPr>
        <w:lastRenderedPageBreak/>
        <w:t>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14"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14"/>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15" w:name="_Hlk482365043"/>
      <w:r w:rsidRPr="008F4216">
        <w:rPr>
          <w:sz w:val="24"/>
        </w:rPr>
        <w:lastRenderedPageBreak/>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15"/>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aktualnego zaświadczenia z właściwego oddziału Zakładu Ubezpieczeń Społecznych o niezaleganiu Wnioskodawcy/Partnera/Konsorcjanta/ Podmiotu realizującego Projekt z należnościami wobec Skarbu Państwa - nie </w:t>
      </w:r>
      <w:r w:rsidRPr="004D35EE">
        <w:rPr>
          <w:rFonts w:asciiTheme="minorHAnsi" w:hAnsiTheme="minorHAnsi" w:cs="Arial"/>
          <w:sz w:val="24"/>
          <w:szCs w:val="24"/>
        </w:rPr>
        <w:lastRenderedPageBreak/>
        <w:t>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16" w:name="_Toc7696234"/>
      <w:r w:rsidRPr="004D35EE">
        <w:rPr>
          <w:rFonts w:asciiTheme="minorHAnsi" w:hAnsiTheme="minorHAnsi"/>
        </w:rPr>
        <w:t>Kryteria wyboru projektów wraz z podaniem ich znaczenia</w:t>
      </w:r>
      <w:bookmarkEnd w:id="110"/>
      <w:bookmarkEnd w:id="111"/>
      <w:bookmarkEnd w:id="112"/>
      <w:bookmarkEnd w:id="113"/>
      <w:bookmarkEnd w:id="116"/>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5"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Pr="004D35EE" w:rsidRDefault="00190020" w:rsidP="0077235E">
      <w:pPr>
        <w:spacing w:line="360" w:lineRule="auto"/>
        <w:rPr>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4F2A5D80" w14:textId="4BB61BF8" w:rsidR="003C4247" w:rsidRPr="004D35EE" w:rsidRDefault="003C4247" w:rsidP="0077235E">
      <w:pPr>
        <w:pStyle w:val="Nagwek1"/>
        <w:spacing w:line="360" w:lineRule="auto"/>
        <w:rPr>
          <w:rFonts w:asciiTheme="minorHAnsi" w:hAnsiTheme="minorHAnsi"/>
        </w:rPr>
      </w:pPr>
      <w:bookmarkStart w:id="117" w:name="_Toc524512217"/>
      <w:bookmarkStart w:id="118" w:name="_Toc524512265"/>
      <w:bookmarkStart w:id="119" w:name="_Toc536524904"/>
      <w:bookmarkStart w:id="120" w:name="_Toc536525097"/>
      <w:bookmarkStart w:id="121" w:name="_Toc7696235"/>
      <w:r w:rsidRPr="004D35EE">
        <w:rPr>
          <w:rFonts w:asciiTheme="minorHAnsi" w:hAnsiTheme="minorHAnsi"/>
        </w:rPr>
        <w:t>Studium wykonalności</w:t>
      </w:r>
      <w:bookmarkEnd w:id="117"/>
      <w:bookmarkEnd w:id="118"/>
      <w:bookmarkEnd w:id="119"/>
      <w:bookmarkEnd w:id="120"/>
      <w:bookmarkEnd w:id="121"/>
    </w:p>
    <w:p w14:paraId="32C31D0D" w14:textId="77777777" w:rsidR="00D03342" w:rsidRPr="004D35EE" w:rsidRDefault="00D03342" w:rsidP="0077235E">
      <w:pPr>
        <w:spacing w:before="240" w:line="360" w:lineRule="auto"/>
        <w:rPr>
          <w:sz w:val="24"/>
          <w:szCs w:val="24"/>
        </w:rPr>
      </w:pPr>
      <w:bookmarkStart w:id="122" w:name="_Toc524512218"/>
      <w:bookmarkStart w:id="123" w:name="_Toc524512266"/>
      <w:bookmarkStart w:id="124" w:name="_Toc536524905"/>
      <w:bookmarkStart w:id="125"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w:t>
      </w:r>
      <w:r w:rsidRPr="004D35EE">
        <w:rPr>
          <w:sz w:val="24"/>
          <w:szCs w:val="24"/>
        </w:rPr>
        <w:lastRenderedPageBreak/>
        <w:t xml:space="preserve">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876B42" w:rsidP="0077235E">
      <w:pPr>
        <w:spacing w:after="0" w:line="360" w:lineRule="auto"/>
        <w:rPr>
          <w:rStyle w:val="Hipercze"/>
          <w:rFonts w:cs="Calibri"/>
          <w:sz w:val="24"/>
          <w:szCs w:val="24"/>
        </w:rPr>
      </w:pPr>
      <w:hyperlink r:id="rId26"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26" w:name="_Toc7696236"/>
      <w:r w:rsidRPr="004D35EE">
        <w:rPr>
          <w:rFonts w:asciiTheme="minorHAnsi" w:hAnsiTheme="minorHAnsi"/>
        </w:rPr>
        <w:t xml:space="preserve">Wskaźniki produktu </w:t>
      </w:r>
      <w:r w:rsidR="00364C8F" w:rsidRPr="004D35EE">
        <w:rPr>
          <w:rFonts w:asciiTheme="minorHAnsi" w:hAnsiTheme="minorHAnsi"/>
        </w:rPr>
        <w:t>i rezultatu</w:t>
      </w:r>
      <w:bookmarkEnd w:id="122"/>
      <w:bookmarkEnd w:id="123"/>
      <w:bookmarkEnd w:id="124"/>
      <w:bookmarkEnd w:id="125"/>
      <w:bookmarkEnd w:id="126"/>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27" w:name="_Toc524512219"/>
      <w:bookmarkStart w:id="128" w:name="_Toc524512267"/>
      <w:bookmarkStart w:id="129" w:name="_Toc536524906"/>
      <w:bookmarkStart w:id="130" w:name="_Toc536525099"/>
      <w:bookmarkStart w:id="131"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127"/>
      <w:bookmarkEnd w:id="128"/>
      <w:bookmarkEnd w:id="129"/>
      <w:bookmarkEnd w:id="130"/>
      <w:bookmarkEnd w:id="131"/>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 xml:space="preserve">protest zawiera: oznaczenie instytucji właściwej do rozpatrzenia protestu, oznaczenie wnioskodawcy, numer wniosku o dofinansowanie, wskazanie kryteriów wyboru projektu, z których </w:t>
      </w:r>
      <w:r w:rsidRPr="004D35EE">
        <w:rPr>
          <w:rFonts w:asciiTheme="minorHAnsi" w:eastAsia="Times New Roman" w:hAnsiTheme="minorHAnsi" w:cs="Arial"/>
          <w:sz w:val="24"/>
          <w:szCs w:val="24"/>
        </w:rPr>
        <w:lastRenderedPageBreak/>
        <w:t>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lastRenderedPageBreak/>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 xml:space="preserve">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t>
      </w:r>
      <w:proofErr w:type="spellStart"/>
      <w:r w:rsidRPr="004D35EE">
        <w:rPr>
          <w:rFonts w:asciiTheme="minorHAnsi" w:eastAsia="Calibri" w:hAnsiTheme="minorHAnsi" w:cs="Arial"/>
          <w:sz w:val="24"/>
          <w:szCs w:val="24"/>
        </w:rPr>
        <w:t>WrOF</w:t>
      </w:r>
      <w:proofErr w:type="spellEnd"/>
      <w:r w:rsidRPr="004D35EE">
        <w:rPr>
          <w:rFonts w:asciiTheme="minorHAnsi" w:eastAsia="Calibri" w:hAnsiTheme="minorHAnsi" w:cs="Arial"/>
          <w:sz w:val="24"/>
          <w:szCs w:val="24"/>
        </w:rPr>
        <w:t>.</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lastRenderedPageBreak/>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132" w:name="_Toc524512220"/>
      <w:bookmarkStart w:id="133" w:name="_Toc524512268"/>
      <w:bookmarkStart w:id="134" w:name="_Toc536524907"/>
      <w:bookmarkStart w:id="135" w:name="_Toc536525100"/>
      <w:bookmarkStart w:id="136"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132"/>
      <w:bookmarkEnd w:id="133"/>
      <w:bookmarkEnd w:id="134"/>
      <w:bookmarkEnd w:id="135"/>
      <w:bookmarkEnd w:id="136"/>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7"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28"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29"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30"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dofinansowania o źródle finansowania ze środków ZIT </w:t>
      </w:r>
      <w:proofErr w:type="spellStart"/>
      <w:r w:rsidRPr="004D35EE">
        <w:rPr>
          <w:rFonts w:asciiTheme="minorHAnsi" w:hAnsiTheme="minorHAnsi"/>
          <w:sz w:val="24"/>
          <w:szCs w:val="24"/>
        </w:rPr>
        <w:t>WrOF</w:t>
      </w:r>
      <w:proofErr w:type="spellEnd"/>
      <w:r w:rsidRPr="004D35EE">
        <w:rPr>
          <w:rFonts w:asciiTheme="minorHAnsi" w:hAnsiTheme="minorHAnsi"/>
          <w:sz w:val="24"/>
          <w:szCs w:val="24"/>
        </w:rPr>
        <w:t xml:space="preserve">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lastRenderedPageBreak/>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37" w:name="_Toc524512221"/>
      <w:bookmarkStart w:id="138" w:name="_Toc524512269"/>
      <w:bookmarkStart w:id="139" w:name="_Toc536524908"/>
      <w:bookmarkStart w:id="140" w:name="_Toc536525101"/>
      <w:bookmarkStart w:id="141"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37"/>
      <w:bookmarkEnd w:id="138"/>
      <w:bookmarkEnd w:id="139"/>
      <w:bookmarkEnd w:id="140"/>
      <w:bookmarkEnd w:id="141"/>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42" w:name="_Toc524512222"/>
      <w:bookmarkStart w:id="143" w:name="_Toc524512270"/>
      <w:bookmarkStart w:id="144" w:name="_Toc536524909"/>
      <w:bookmarkStart w:id="145" w:name="_Toc536525102"/>
      <w:bookmarkStart w:id="146" w:name="_Toc7696240"/>
      <w:r w:rsidR="003C4247" w:rsidRPr="004D35EE">
        <w:rPr>
          <w:rFonts w:asciiTheme="minorHAnsi" w:hAnsiTheme="minorHAnsi"/>
        </w:rPr>
        <w:t>Forma i sposób udzielania wnioskodawcy wyjaśnień w kwestiach dotyczących konkursu</w:t>
      </w:r>
      <w:bookmarkEnd w:id="142"/>
      <w:bookmarkEnd w:id="143"/>
      <w:bookmarkEnd w:id="144"/>
      <w:bookmarkEnd w:id="145"/>
      <w:bookmarkEnd w:id="146"/>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876B42" w:rsidP="0077235E">
      <w:pPr>
        <w:spacing w:line="360" w:lineRule="auto"/>
        <w:rPr>
          <w:b/>
          <w:sz w:val="24"/>
          <w:szCs w:val="24"/>
        </w:rPr>
      </w:pPr>
      <w:hyperlink r:id="rId31"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876B42" w:rsidP="0077235E">
      <w:pPr>
        <w:spacing w:line="360" w:lineRule="auto"/>
        <w:rPr>
          <w:b/>
          <w:sz w:val="24"/>
          <w:szCs w:val="24"/>
        </w:rPr>
      </w:pPr>
      <w:hyperlink r:id="rId32"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876B42" w:rsidP="0077235E">
      <w:pPr>
        <w:spacing w:line="360" w:lineRule="auto"/>
        <w:rPr>
          <w:b/>
          <w:sz w:val="24"/>
          <w:szCs w:val="24"/>
        </w:rPr>
      </w:pPr>
      <w:hyperlink r:id="rId33"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876B42" w:rsidP="0077235E">
      <w:pPr>
        <w:spacing w:line="360" w:lineRule="auto"/>
        <w:rPr>
          <w:b/>
          <w:sz w:val="24"/>
          <w:szCs w:val="24"/>
        </w:rPr>
      </w:pPr>
      <w:hyperlink r:id="rId34"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Zapytania do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xml:space="preserve"> (w zakresie Strategii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w:t>
      </w:r>
      <w:proofErr w:type="spellStart"/>
      <w:r w:rsidRPr="004D35EE">
        <w:rPr>
          <w:rFonts w:ascii="Calibri" w:eastAsia="Calibri" w:hAnsi="Calibri" w:cs="Times New Roman"/>
          <w:sz w:val="24"/>
          <w:szCs w:val="24"/>
          <w:lang w:val="en-US"/>
        </w:rPr>
        <w:t>maila</w:t>
      </w:r>
      <w:proofErr w:type="spellEnd"/>
      <w:r w:rsidRPr="004D35EE">
        <w:rPr>
          <w:rFonts w:ascii="Calibri" w:eastAsia="Calibri" w:hAnsi="Calibri" w:cs="Times New Roman"/>
          <w:sz w:val="24"/>
          <w:szCs w:val="24"/>
          <w:lang w:val="en-US"/>
        </w:rPr>
        <w:t>: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Biuro Zintegrowanych Inwestycji Terytorialnych </w:t>
      </w:r>
      <w:proofErr w:type="spellStart"/>
      <w:r w:rsidRPr="004D35EE">
        <w:rPr>
          <w:rFonts w:ascii="Calibri" w:eastAsia="Calibri" w:hAnsi="Calibri" w:cs="Times New Roman"/>
          <w:sz w:val="24"/>
          <w:szCs w:val="24"/>
        </w:rPr>
        <w:t>WrOF</w:t>
      </w:r>
      <w:proofErr w:type="spellEnd"/>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5"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47" w:name="_Toc524512223"/>
      <w:bookmarkStart w:id="148" w:name="_Toc524512271"/>
      <w:bookmarkStart w:id="149" w:name="_Toc536524910"/>
      <w:bookmarkStart w:id="150" w:name="_Toc536525103"/>
      <w:bookmarkStart w:id="151" w:name="_Toc7696241"/>
      <w:r w:rsidRPr="004D35EE">
        <w:rPr>
          <w:rFonts w:asciiTheme="minorHAnsi" w:hAnsiTheme="minorHAnsi"/>
        </w:rPr>
        <w:t>Orientacyjny t</w:t>
      </w:r>
      <w:r w:rsidR="00254703" w:rsidRPr="004D35EE">
        <w:rPr>
          <w:rFonts w:asciiTheme="minorHAnsi" w:hAnsiTheme="minorHAnsi"/>
        </w:rPr>
        <w:t>ermin rozstrzygnięcia konkursu</w:t>
      </w:r>
      <w:bookmarkEnd w:id="147"/>
      <w:bookmarkEnd w:id="148"/>
      <w:bookmarkEnd w:id="149"/>
      <w:bookmarkEnd w:id="150"/>
      <w:bookmarkEnd w:id="151"/>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52" w:name="_Toc524512224"/>
      <w:bookmarkStart w:id="153" w:name="_Toc524512272"/>
      <w:bookmarkStart w:id="154" w:name="_Toc536524911"/>
      <w:bookmarkStart w:id="155" w:name="_Toc536525104"/>
      <w:bookmarkStart w:id="156" w:name="_Toc7696242"/>
      <w:r w:rsidRPr="004D35EE">
        <w:rPr>
          <w:rFonts w:asciiTheme="minorHAnsi" w:hAnsiTheme="minorHAnsi"/>
        </w:rPr>
        <w:lastRenderedPageBreak/>
        <w:t>Sytuacje, w których konkurs może zostać anul</w:t>
      </w:r>
      <w:r w:rsidR="00254703" w:rsidRPr="004D35EE">
        <w:rPr>
          <w:rFonts w:asciiTheme="minorHAnsi" w:hAnsiTheme="minorHAnsi"/>
        </w:rPr>
        <w:t>owany lub zmieniony regulamin</w:t>
      </w:r>
      <w:bookmarkEnd w:id="152"/>
      <w:bookmarkEnd w:id="153"/>
      <w:bookmarkEnd w:id="154"/>
      <w:bookmarkEnd w:id="155"/>
      <w:bookmarkEnd w:id="156"/>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57" w:name="_Toc425494883"/>
      <w:bookmarkEnd w:id="157"/>
      <w:r w:rsidRPr="004D35EE">
        <w:rPr>
          <w:sz w:val="24"/>
          <w:szCs w:val="24"/>
        </w:rPr>
        <w:t>internetow</w:t>
      </w:r>
      <w:r w:rsidR="005C491B" w:rsidRPr="004D35EE">
        <w:rPr>
          <w:sz w:val="24"/>
          <w:szCs w:val="24"/>
        </w:rPr>
        <w:t>ej</w:t>
      </w:r>
      <w:r w:rsidR="00F40BEE" w:rsidRPr="004D35EE">
        <w:rPr>
          <w:sz w:val="24"/>
          <w:szCs w:val="24"/>
        </w:rPr>
        <w:t xml:space="preserve"> </w:t>
      </w:r>
      <w:hyperlink r:id="rId36"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7"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58" w:name="_Toc524512225"/>
      <w:bookmarkStart w:id="159" w:name="_Toc524512273"/>
      <w:bookmarkStart w:id="160" w:name="_Toc536524912"/>
      <w:bookmarkStart w:id="161" w:name="_Toc536525105"/>
      <w:bookmarkStart w:id="162" w:name="_Toc7696243"/>
      <w:r w:rsidRPr="004D35EE">
        <w:rPr>
          <w:rFonts w:asciiTheme="minorHAnsi" w:hAnsiTheme="minorHAnsi"/>
        </w:rPr>
        <w:t>Kwalifikowalność wydatków</w:t>
      </w:r>
      <w:bookmarkEnd w:id="158"/>
      <w:bookmarkEnd w:id="159"/>
      <w:bookmarkEnd w:id="160"/>
      <w:bookmarkEnd w:id="161"/>
      <w:bookmarkEnd w:id="162"/>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lastRenderedPageBreak/>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876B42" w:rsidP="0077235E">
      <w:pPr>
        <w:spacing w:line="360" w:lineRule="auto"/>
        <w:rPr>
          <w:rFonts w:cs="Calibri"/>
          <w:color w:val="000000"/>
          <w:sz w:val="24"/>
          <w:szCs w:val="24"/>
        </w:rPr>
      </w:pPr>
      <w:hyperlink r:id="rId38"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lastRenderedPageBreak/>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39"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lastRenderedPageBreak/>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63" w:name="_Toc524512226"/>
      <w:bookmarkStart w:id="164" w:name="_Toc524512274"/>
      <w:bookmarkStart w:id="165" w:name="_Toc536524913"/>
      <w:bookmarkStart w:id="166" w:name="_Toc536525106"/>
      <w:bookmarkStart w:id="167" w:name="_Toc7696244"/>
      <w:r w:rsidRPr="004D35EE">
        <w:rPr>
          <w:rFonts w:asciiTheme="minorHAnsi" w:hAnsiTheme="minorHAnsi"/>
        </w:rPr>
        <w:t>Kwalifikowalność podatku VAT</w:t>
      </w:r>
      <w:bookmarkEnd w:id="163"/>
      <w:bookmarkEnd w:id="164"/>
      <w:bookmarkEnd w:id="165"/>
      <w:bookmarkEnd w:id="166"/>
      <w:bookmarkEnd w:id="167"/>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Wnioskodawca / Partner Projektu / Podmiot Realizujący Projekt, który uzna VAT za wydatek kwalifikowalny jest zobowiązany do przedstawienia w treści wniosku o </w:t>
      </w:r>
      <w:r w:rsidRPr="004D35EE">
        <w:rPr>
          <w:rFonts w:eastAsia="SimSun" w:cs="Arial"/>
          <w:kern w:val="3"/>
          <w:sz w:val="24"/>
          <w:szCs w:val="24"/>
          <w:lang w:eastAsia="pl-PL"/>
        </w:rPr>
        <w:lastRenderedPageBreak/>
        <w:t>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68" w:name="_Toc524512227"/>
      <w:bookmarkStart w:id="169" w:name="_Toc524512275"/>
      <w:bookmarkStart w:id="170" w:name="_Toc536524914"/>
      <w:bookmarkStart w:id="171" w:name="_Toc536525107"/>
      <w:bookmarkStart w:id="172" w:name="_Toc7696245"/>
      <w:r w:rsidRPr="004D35EE">
        <w:rPr>
          <w:rFonts w:asciiTheme="minorHAnsi" w:hAnsiTheme="minorHAnsi"/>
        </w:rPr>
        <w:t>Polityka ochrony środowiska</w:t>
      </w:r>
      <w:bookmarkEnd w:id="168"/>
      <w:bookmarkEnd w:id="169"/>
      <w:bookmarkEnd w:id="170"/>
      <w:bookmarkEnd w:id="171"/>
      <w:bookmarkEnd w:id="172"/>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 xml:space="preserve">jego ochronie, udziale społeczeństwa w ochronie środowiska oraz o ocenach oddziaływania na środowisko (Dz.U. z 2016 r. poz. 353, z późn.zm.) – zwaną dalej ustawą OOŚ, tj. zamierzeń budowlanych lub innych ingerencji w środowisko </w:t>
      </w:r>
      <w:r w:rsidRPr="004D35EE">
        <w:rPr>
          <w:sz w:val="24"/>
          <w:szCs w:val="24"/>
        </w:rPr>
        <w:lastRenderedPageBreak/>
        <w:t>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 xml:space="preserve">przedłożyć </w:t>
      </w:r>
      <w:r w:rsidRPr="004D35EE">
        <w:rPr>
          <w:sz w:val="24"/>
          <w:szCs w:val="24"/>
        </w:rPr>
        <w:lastRenderedPageBreak/>
        <w:t>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73" w:name="_Toc426632923"/>
      <w:bookmarkStart w:id="174" w:name="_Toc430826827"/>
      <w:bookmarkStart w:id="175" w:name="_Toc432758975"/>
      <w:bookmarkStart w:id="176" w:name="_Toc524512228"/>
      <w:bookmarkStart w:id="177" w:name="_Toc524512276"/>
      <w:bookmarkStart w:id="178" w:name="_Toc536524915"/>
      <w:bookmarkStart w:id="179" w:name="_Toc536525108"/>
      <w:bookmarkStart w:id="180" w:name="_Toc7696246"/>
      <w:r w:rsidRPr="004D35EE">
        <w:rPr>
          <w:rFonts w:asciiTheme="minorHAnsi" w:hAnsiTheme="minorHAnsi"/>
        </w:rPr>
        <w:t>Wymagania w zakresie realizacji projektu partnerskiego</w:t>
      </w:r>
      <w:bookmarkEnd w:id="173"/>
      <w:bookmarkEnd w:id="174"/>
      <w:bookmarkEnd w:id="175"/>
      <w:bookmarkEnd w:id="176"/>
      <w:bookmarkEnd w:id="177"/>
      <w:bookmarkEnd w:id="178"/>
      <w:bookmarkEnd w:id="179"/>
      <w:bookmarkEnd w:id="180"/>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lastRenderedPageBreak/>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lastRenderedPageBreak/>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 xml:space="preserve">wiodącą rolę jednego podmiotu (partnera </w:t>
      </w:r>
      <w:r w:rsidR="00961655" w:rsidRPr="004D35EE">
        <w:rPr>
          <w:rFonts w:eastAsia="Calibri" w:cs="Times New Roman"/>
          <w:sz w:val="24"/>
          <w:szCs w:val="24"/>
          <w:lang w:eastAsia="pl-PL"/>
        </w:rPr>
        <w:lastRenderedPageBreak/>
        <w:t>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81" w:name="_Toc524512229"/>
      <w:bookmarkStart w:id="182" w:name="_Toc524512277"/>
      <w:bookmarkStart w:id="183" w:name="_Toc536524916"/>
      <w:bookmarkStart w:id="184" w:name="_Toc536525109"/>
      <w:bookmarkStart w:id="185" w:name="_Toc7696247"/>
      <w:r w:rsidRPr="004D35EE">
        <w:rPr>
          <w:rFonts w:asciiTheme="minorHAnsi" w:hAnsiTheme="minorHAnsi"/>
        </w:rPr>
        <w:t>Wykaz załączników do wniosku o dofinansowanie</w:t>
      </w:r>
      <w:bookmarkEnd w:id="181"/>
      <w:bookmarkEnd w:id="182"/>
      <w:bookmarkEnd w:id="183"/>
      <w:bookmarkEnd w:id="184"/>
      <w:bookmarkEnd w:id="185"/>
    </w:p>
    <w:p w14:paraId="1380CEBB" w14:textId="77777777" w:rsidR="003479D1" w:rsidRPr="004D35EE" w:rsidRDefault="003479D1" w:rsidP="0077235E">
      <w:pPr>
        <w:spacing w:after="0" w:line="360" w:lineRule="auto"/>
        <w:rPr>
          <w:sz w:val="24"/>
          <w:szCs w:val="24"/>
        </w:rPr>
      </w:pPr>
      <w:bookmarkStart w:id="186" w:name="_Toc524512230"/>
      <w:bookmarkStart w:id="187" w:name="_Toc524512278"/>
      <w:bookmarkStart w:id="188" w:name="_Toc536524917"/>
      <w:bookmarkStart w:id="189"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 xml:space="preserve">środowisko polegającej na przekształceniu lub zmianie sposobu wykorzystania terenu, w tym również na wydobywaniu </w:t>
      </w:r>
      <w:r w:rsidRPr="004D35EE">
        <w:rPr>
          <w:rFonts w:asciiTheme="minorHAnsi" w:hAnsiTheme="minorHAnsi" w:cs="Arial"/>
          <w:color w:val="000000" w:themeColor="text1"/>
          <w:sz w:val="24"/>
          <w:szCs w:val="24"/>
        </w:rPr>
        <w:lastRenderedPageBreak/>
        <w:t>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lastRenderedPageBreak/>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 xml:space="preserve">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w:t>
      </w:r>
      <w:r w:rsidRPr="004D35EE">
        <w:rPr>
          <w:sz w:val="24"/>
          <w:szCs w:val="24"/>
        </w:rPr>
        <w:lastRenderedPageBreak/>
        <w:t>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90" w:name="_Toc7696248"/>
      <w:r w:rsidRPr="004D35EE">
        <w:rPr>
          <w:rFonts w:asciiTheme="minorHAnsi" w:hAnsiTheme="minorHAnsi"/>
        </w:rPr>
        <w:t>Załączniki do regulaminu</w:t>
      </w:r>
      <w:bookmarkEnd w:id="186"/>
      <w:bookmarkEnd w:id="187"/>
      <w:bookmarkEnd w:id="188"/>
      <w:bookmarkEnd w:id="189"/>
      <w:bookmarkEnd w:id="190"/>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40"/>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876B42">
              <w:rPr>
                <w:b/>
                <w:bCs/>
                <w:noProof/>
                <w:sz w:val="18"/>
                <w:szCs w:val="18"/>
              </w:rPr>
              <w:t>21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876B42">
              <w:rPr>
                <w:b/>
                <w:bCs/>
                <w:noProof/>
                <w:sz w:val="18"/>
                <w:szCs w:val="18"/>
              </w:rPr>
              <w:t>64</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t>
      </w:r>
      <w:proofErr w:type="spellStart"/>
      <w:r w:rsidRPr="003604C3">
        <w:rPr>
          <w:rFonts w:asciiTheme="minorHAnsi" w:hAnsiTheme="minorHAnsi"/>
        </w:rPr>
        <w:t>WrOF</w:t>
      </w:r>
      <w:proofErr w:type="spellEnd"/>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 xml:space="preserve">Wrocławskiego Obszaru Funkcjonalnego określonego w Strategii ZIT </w:t>
      </w:r>
      <w:proofErr w:type="spellStart"/>
      <w:r w:rsidRPr="003604C3">
        <w:rPr>
          <w:rFonts w:cs="Arial"/>
          <w:sz w:val="20"/>
          <w:szCs w:val="20"/>
          <w:u w:val="single"/>
        </w:rPr>
        <w:t>WrOF</w:t>
      </w:r>
      <w:proofErr w:type="spellEnd"/>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 xml:space="preserve">z </w:t>
      </w:r>
      <w:proofErr w:type="spellStart"/>
      <w:r w:rsidR="00636C61">
        <w:rPr>
          <w:rFonts w:asciiTheme="minorHAnsi" w:hAnsiTheme="minorHAnsi"/>
        </w:rPr>
        <w:t>późn</w:t>
      </w:r>
      <w:proofErr w:type="spellEnd"/>
      <w:r w:rsidR="00636C61">
        <w:rPr>
          <w:rFonts w:asciiTheme="minorHAnsi" w:hAnsiTheme="minorHAnsi"/>
        </w:rPr>
        <w:t>. zm.</w:t>
      </w:r>
      <w:bookmarkStart w:id="68" w:name="_GoBack"/>
      <w:bookmarkEnd w:id="6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9">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2">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0"/>
  </w:num>
  <w:num w:numId="4">
    <w:abstractNumId w:val="35"/>
  </w:num>
  <w:num w:numId="5">
    <w:abstractNumId w:val="18"/>
  </w:num>
  <w:num w:numId="6">
    <w:abstractNumId w:val="39"/>
  </w:num>
  <w:num w:numId="7">
    <w:abstractNumId w:val="10"/>
  </w:num>
  <w:num w:numId="8">
    <w:abstractNumId w:val="6"/>
  </w:num>
  <w:num w:numId="9">
    <w:abstractNumId w:val="21"/>
  </w:num>
  <w:num w:numId="10">
    <w:abstractNumId w:val="32"/>
  </w:num>
  <w:num w:numId="11">
    <w:abstractNumId w:val="22"/>
  </w:num>
  <w:num w:numId="12">
    <w:abstractNumId w:val="13"/>
  </w:num>
  <w:num w:numId="13">
    <w:abstractNumId w:val="36"/>
  </w:num>
  <w:num w:numId="14">
    <w:abstractNumId w:val="23"/>
  </w:num>
  <w:num w:numId="15">
    <w:abstractNumId w:val="34"/>
  </w:num>
  <w:num w:numId="16">
    <w:abstractNumId w:val="26"/>
  </w:num>
  <w:num w:numId="17">
    <w:abstractNumId w:val="17"/>
  </w:num>
  <w:num w:numId="18">
    <w:abstractNumId w:val="16"/>
  </w:num>
  <w:num w:numId="19">
    <w:abstractNumId w:val="24"/>
  </w:num>
  <w:num w:numId="20">
    <w:abstractNumId w:val="29"/>
  </w:num>
  <w:num w:numId="21">
    <w:abstractNumId w:val="1"/>
  </w:num>
  <w:num w:numId="22">
    <w:abstractNumId w:val="19"/>
  </w:num>
  <w:num w:numId="23">
    <w:abstractNumId w:val="28"/>
  </w:num>
  <w:num w:numId="24">
    <w:abstractNumId w:val="3"/>
  </w:num>
  <w:num w:numId="25">
    <w:abstractNumId w:val="15"/>
  </w:num>
  <w:num w:numId="26">
    <w:abstractNumId w:val="7"/>
  </w:num>
  <w:num w:numId="27">
    <w:abstractNumId w:val="33"/>
  </w:num>
  <w:num w:numId="28">
    <w:abstractNumId w:val="40"/>
  </w:num>
  <w:num w:numId="29">
    <w:abstractNumId w:val="14"/>
  </w:num>
  <w:num w:numId="30">
    <w:abstractNumId w:val="8"/>
  </w:num>
  <w:num w:numId="31">
    <w:abstractNumId w:val="38"/>
  </w:num>
  <w:num w:numId="32">
    <w:abstractNumId w:val="2"/>
  </w:num>
  <w:num w:numId="33">
    <w:abstractNumId w:val="30"/>
  </w:num>
  <w:num w:numId="34">
    <w:abstractNumId w:val="31"/>
  </w:num>
  <w:num w:numId="35">
    <w:abstractNumId w:val="27"/>
  </w:num>
  <w:num w:numId="36">
    <w:abstractNumId w:val="5"/>
  </w:num>
  <w:num w:numId="37">
    <w:abstractNumId w:val="25"/>
  </w:num>
  <w:num w:numId="38">
    <w:abstractNumId w:val="11"/>
  </w:num>
  <w:num w:numId="39">
    <w:abstractNumId w:val="37"/>
  </w:num>
  <w:num w:numId="40">
    <w:abstractNumId w:val="9"/>
  </w:num>
  <w:num w:numId="41">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1"/>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1"/>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legnica@dolnyslask.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0" Type="http://schemas.openxmlformats.org/officeDocument/2006/relationships/hyperlink" Target="http://www.zitwrof.pl" TargetMode="External"/><Relationship Id="rId29" Type="http://schemas.openxmlformats.org/officeDocument/2006/relationships/hyperlink" Target="http://www.rpo.dolnyslask.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mailto:pife.jeleniagora@dolnyslask.pl" TargetMode="External"/><Relationship Id="rId37" Type="http://schemas.openxmlformats.org/officeDocument/2006/relationships/hyperlink" Target="http://www.zitwrof.pl" TargetMode="External"/><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zitwrof.pl" TargetMode="External"/><Relationship Id="rId35" Type="http://schemas.openxmlformats.org/officeDocument/2006/relationships/hyperlink" Target="http://www.rpo.dolnyslask.p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3689-6188-42CD-8DCD-EFF2E3DB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64</Pages>
  <Words>16997</Words>
  <Characters>101985</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Marta Meyer</cp:lastModifiedBy>
  <cp:revision>88</cp:revision>
  <cp:lastPrinted>2019-05-16T09:27:00Z</cp:lastPrinted>
  <dcterms:created xsi:type="dcterms:W3CDTF">2019-05-13T11:34:00Z</dcterms:created>
  <dcterms:modified xsi:type="dcterms:W3CDTF">2019-05-24T06:59:00Z</dcterms:modified>
</cp:coreProperties>
</file>